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48FC" w14:textId="77777777" w:rsidR="00C032E4" w:rsidRDefault="00785FF7" w:rsidP="00C032E4">
      <w:pPr>
        <w:spacing w:after="0" w:line="240" w:lineRule="auto"/>
        <w:jc w:val="both"/>
        <w:rPr>
          <w:rFonts w:cstheme="minorHAnsi"/>
          <w:b/>
        </w:rPr>
      </w:pPr>
      <w:r>
        <w:rPr>
          <w:rFonts w:cstheme="minorHAnsi"/>
          <w:b/>
        </w:rPr>
        <w:t>TAVA</w:t>
      </w:r>
      <w:r w:rsidR="00C032E4" w:rsidRPr="00DA45B4">
        <w:rPr>
          <w:rFonts w:cstheme="minorHAnsi"/>
          <w:b/>
        </w:rPr>
        <w:t>VÄLIVORMI MÜTS M09</w:t>
      </w:r>
    </w:p>
    <w:p w14:paraId="2479D68C" w14:textId="77777777" w:rsidR="00785FF7" w:rsidRPr="00DA45B4" w:rsidRDefault="00785FF7" w:rsidP="00785FF7">
      <w:pPr>
        <w:spacing w:after="0" w:line="240" w:lineRule="auto"/>
        <w:jc w:val="both"/>
        <w:rPr>
          <w:rFonts w:cstheme="minorHAnsi"/>
          <w:b/>
        </w:rPr>
      </w:pPr>
      <w:r w:rsidRPr="00DA45B4">
        <w:rPr>
          <w:rFonts w:cstheme="minorHAnsi"/>
          <w:b/>
        </w:rPr>
        <w:t>TEHNILISE KIRJELDUS</w:t>
      </w:r>
    </w:p>
    <w:p w14:paraId="71287B05" w14:textId="77777777" w:rsidR="00C032E4" w:rsidRDefault="00C032E4" w:rsidP="00C032E4">
      <w:pPr>
        <w:spacing w:after="0" w:line="240" w:lineRule="auto"/>
        <w:jc w:val="both"/>
        <w:rPr>
          <w:rFonts w:cstheme="minorHAnsi"/>
          <w:b/>
        </w:rPr>
      </w:pPr>
    </w:p>
    <w:p w14:paraId="1922928E" w14:textId="77777777" w:rsidR="003E1C3B" w:rsidRDefault="00C84B5C" w:rsidP="00C84B5C">
      <w:pPr>
        <w:spacing w:after="0" w:line="240" w:lineRule="auto"/>
        <w:ind w:left="360"/>
        <w:jc w:val="both"/>
      </w:pPr>
      <w:r w:rsidRPr="00C84B5C">
        <w:rPr>
          <w:rFonts w:cstheme="minorHAnsi"/>
        </w:rPr>
        <w:t xml:space="preserve">Raamhanke tehnilises kirjelduses on kirjeldatud esimese hankelepinguga ostetav toode. </w:t>
      </w:r>
      <w:r w:rsidRPr="00C84B5C">
        <w:rPr>
          <w:rFonts w:cs="Calibri"/>
        </w:rPr>
        <w:t>Ostjal on raamlepingu alusel õigus vajadusel osta teiste sarnaste toodete tootmist ning nendele ja riigihankes nimetatud toodetele vajadusel tellida lõigete, jooniste korrigeerimise ja valmistoote mõõtudetabeli koostamise teenust vastavalt minikonkursil ning tehnilises kirjelduses esitatud tingimustele.</w:t>
      </w:r>
      <w:r w:rsidR="003E1C3B" w:rsidRPr="003E1C3B">
        <w:t xml:space="preserve"> </w:t>
      </w:r>
    </w:p>
    <w:p w14:paraId="329ABCD9" w14:textId="77777777" w:rsidR="003E1C3B" w:rsidRDefault="003E1C3B" w:rsidP="00C84B5C">
      <w:pPr>
        <w:spacing w:after="0" w:line="240" w:lineRule="auto"/>
        <w:ind w:left="360"/>
        <w:jc w:val="both"/>
      </w:pPr>
    </w:p>
    <w:p w14:paraId="13520DB3" w14:textId="77777777" w:rsidR="00F9050F" w:rsidRDefault="003E1C3B" w:rsidP="00C84B5C">
      <w:pPr>
        <w:spacing w:after="0" w:line="240" w:lineRule="auto"/>
        <w:ind w:left="360"/>
        <w:jc w:val="both"/>
        <w:rPr>
          <w:rFonts w:cs="Calibri"/>
        </w:rPr>
      </w:pPr>
      <w:r w:rsidRPr="003E1C3B">
        <w:rPr>
          <w:rFonts w:cs="Calibri"/>
        </w:rPr>
        <w:t xml:space="preserve">Lõigete korrigeerimine hõlmab endas ette antud  lõigetele </w:t>
      </w:r>
      <w:proofErr w:type="spellStart"/>
      <w:r w:rsidRPr="003E1C3B">
        <w:rPr>
          <w:rFonts w:cs="Calibri"/>
        </w:rPr>
        <w:t>pisiparanduste</w:t>
      </w:r>
      <w:proofErr w:type="spellEnd"/>
      <w:r w:rsidRPr="003E1C3B">
        <w:rPr>
          <w:rFonts w:cs="Calibri"/>
        </w:rPr>
        <w:t xml:space="preserve"> tegemist, mida on võimalik tehnilises kirjelduses kirjeldada. Lõigete korrigeerimine ei hõlma endas </w:t>
      </w:r>
      <w:proofErr w:type="spellStart"/>
      <w:r w:rsidRPr="003E1C3B">
        <w:rPr>
          <w:rFonts w:cs="Calibri"/>
        </w:rPr>
        <w:t>istuvusega</w:t>
      </w:r>
      <w:proofErr w:type="spellEnd"/>
      <w:r w:rsidRPr="003E1C3B">
        <w:rPr>
          <w:rFonts w:cs="Calibri"/>
        </w:rPr>
        <w:t xml:space="preserve"> seotud parandusi, lõigete ümbertegemist määral, millega parendatakse toote funktsionaalsust. </w:t>
      </w:r>
    </w:p>
    <w:p w14:paraId="498FFC16" w14:textId="77777777" w:rsidR="00F9050F" w:rsidRDefault="003E1C3B" w:rsidP="00C84B5C">
      <w:pPr>
        <w:spacing w:after="0" w:line="240" w:lineRule="auto"/>
        <w:ind w:left="360"/>
        <w:jc w:val="both"/>
        <w:rPr>
          <w:rFonts w:cs="Calibri"/>
        </w:rPr>
      </w:pPr>
      <w:r w:rsidRPr="003E1C3B">
        <w:rPr>
          <w:rFonts w:cs="Calibri"/>
        </w:rPr>
        <w:t xml:space="preserve">Joonise korrigeerimine hõlmab endas </w:t>
      </w:r>
      <w:proofErr w:type="spellStart"/>
      <w:r w:rsidRPr="003E1C3B">
        <w:rPr>
          <w:rFonts w:cs="Calibri"/>
        </w:rPr>
        <w:t>pisiparanduste</w:t>
      </w:r>
      <w:proofErr w:type="spellEnd"/>
      <w:r w:rsidRPr="003E1C3B">
        <w:rPr>
          <w:rFonts w:cs="Calibri"/>
        </w:rPr>
        <w:t xml:space="preserve"> tegemist tootejoonistel, viimaks joonis vastavusse tehnilise kirjeldusega ning lõikega. </w:t>
      </w:r>
    </w:p>
    <w:p w14:paraId="72E9399A" w14:textId="4DE4474C" w:rsidR="00C84B5C" w:rsidRPr="00C84B5C" w:rsidRDefault="003E1C3B" w:rsidP="00C84B5C">
      <w:pPr>
        <w:spacing w:after="0" w:line="240" w:lineRule="auto"/>
        <w:ind w:left="360"/>
        <w:jc w:val="both"/>
        <w:rPr>
          <w:rFonts w:cs="Calibri"/>
        </w:rPr>
      </w:pPr>
      <w:r w:rsidRPr="003E1C3B">
        <w:rPr>
          <w:rFonts w:cs="Calibri"/>
        </w:rPr>
        <w:t>Valmistoote mõõtude tabeli koostamine hõlmab endas vajadusel mõõtude tabeli koostamist suurendustele-vähendustele.</w:t>
      </w:r>
    </w:p>
    <w:p w14:paraId="7853BD15" w14:textId="77777777" w:rsidR="00C84B5C" w:rsidRPr="00C84B5C" w:rsidRDefault="00C84B5C" w:rsidP="00C84B5C">
      <w:pPr>
        <w:spacing w:after="0" w:line="240" w:lineRule="auto"/>
        <w:ind w:left="360"/>
        <w:jc w:val="both"/>
        <w:rPr>
          <w:rFonts w:cs="Calibri"/>
        </w:rPr>
      </w:pPr>
    </w:p>
    <w:p w14:paraId="3F89BD73" w14:textId="27AD50A8" w:rsidR="00C84B5C" w:rsidRPr="00C84B5C" w:rsidRDefault="00C84B5C" w:rsidP="00C84B5C">
      <w:pPr>
        <w:spacing w:after="0" w:line="240" w:lineRule="auto"/>
        <w:ind w:left="360"/>
        <w:jc w:val="both"/>
        <w:rPr>
          <w:rFonts w:cs="Calibri"/>
        </w:rPr>
      </w:pPr>
      <w:r w:rsidRPr="00C84B5C">
        <w:rPr>
          <w:rFonts w:cs="Calibri"/>
        </w:rPr>
        <w:t>Sarnaste toodete all mõistavad pooled teisi Kaitseväes kasutusel olevaid vormirõivaid ning nende vormirõivaste uuemaid versioone koos uuendatud materjalidega ja lõigetega, mille tehnilised kirjeldused ja muu vajaliku info toodete hinnastamiseks edastab ostja miniko</w:t>
      </w:r>
      <w:r w:rsidR="003E1C3B">
        <w:rPr>
          <w:rFonts w:cs="Calibri"/>
        </w:rPr>
        <w:t>nkursside käigus. Sarnaste</w:t>
      </w:r>
      <w:r w:rsidRPr="00C84B5C">
        <w:rPr>
          <w:rFonts w:cs="Calibri"/>
        </w:rPr>
        <w:t xml:space="preserve"> toodete all mõistavad pooled ühtlasi tulevikus kasutusele võetavaid vormirõivaid, mille tehnilised kirjeldused ja muu vajaliku info toodete hinnastamiseks edastab ostja minikonkursside käigus. </w:t>
      </w:r>
    </w:p>
    <w:p w14:paraId="2235B122" w14:textId="77777777" w:rsidR="00C84B5C" w:rsidRPr="00C84B5C" w:rsidRDefault="00C84B5C" w:rsidP="00C84B5C">
      <w:pPr>
        <w:spacing w:after="0" w:line="240" w:lineRule="auto"/>
        <w:ind w:left="360"/>
        <w:jc w:val="both"/>
        <w:rPr>
          <w:rFonts w:cs="Calibri"/>
        </w:rPr>
      </w:pPr>
    </w:p>
    <w:p w14:paraId="00D91C5A" w14:textId="77777777" w:rsidR="00C84B5C" w:rsidRPr="00C84B5C" w:rsidRDefault="00C84B5C" w:rsidP="00C84B5C">
      <w:pPr>
        <w:spacing w:after="0" w:line="240" w:lineRule="auto"/>
        <w:ind w:left="360"/>
        <w:jc w:val="both"/>
        <w:rPr>
          <w:rFonts w:cs="Calibri"/>
        </w:rPr>
      </w:pPr>
      <w:r w:rsidRPr="00C84B5C">
        <w:rPr>
          <w:rFonts w:cs="Calibri"/>
        </w:rPr>
        <w:t xml:space="preserve">Hetkel Kaitseväes kasutatavad vormirõivad, mis koosnevad erinevatest vormielementidest ning mida raamlepinguga ei hinnastata, on järgmised: talvine välivorm, kõrbevorm, vihmaülikond, rünnakvorm(sh kuulivestialune särk), </w:t>
      </w:r>
      <w:proofErr w:type="spellStart"/>
      <w:r w:rsidRPr="00C84B5C">
        <w:rPr>
          <w:rFonts w:cs="Calibri"/>
        </w:rPr>
        <w:t>kaugluurevorm</w:t>
      </w:r>
      <w:proofErr w:type="spellEnd"/>
      <w:r w:rsidRPr="00C84B5C">
        <w:rPr>
          <w:rFonts w:cs="Calibri"/>
        </w:rPr>
        <w:t xml:space="preserve">, soomukimeeskonna kombinesoon, talvine ja suvine laevateenistusvorm jms. Eespool nimetatud loetelu ei ole lõplik ning võib muutuda ja täieneda. </w:t>
      </w:r>
    </w:p>
    <w:p w14:paraId="79EFB0C3" w14:textId="77777777" w:rsidR="00801F8D" w:rsidRDefault="00801F8D" w:rsidP="00C032E4">
      <w:pPr>
        <w:spacing w:after="0" w:line="240" w:lineRule="auto"/>
        <w:jc w:val="both"/>
        <w:rPr>
          <w:rFonts w:cstheme="minorHAnsi"/>
          <w:b/>
        </w:rPr>
      </w:pPr>
    </w:p>
    <w:p w14:paraId="7B5D1329" w14:textId="77777777" w:rsidR="00801F8D" w:rsidRPr="00DA45B4" w:rsidRDefault="00801F8D" w:rsidP="00C032E4">
      <w:pPr>
        <w:spacing w:after="0" w:line="240" w:lineRule="auto"/>
        <w:jc w:val="both"/>
        <w:rPr>
          <w:rFonts w:cstheme="minorHAnsi"/>
          <w:b/>
        </w:rPr>
      </w:pPr>
    </w:p>
    <w:p w14:paraId="3CB50282" w14:textId="77777777" w:rsidR="00C032E4" w:rsidRPr="00C032E4" w:rsidRDefault="00C032E4" w:rsidP="00C032E4">
      <w:pPr>
        <w:pStyle w:val="ListParagraph"/>
        <w:numPr>
          <w:ilvl w:val="0"/>
          <w:numId w:val="1"/>
        </w:numPr>
      </w:pPr>
      <w:r w:rsidRPr="00C032E4">
        <w:t>NÕUDED TOOTELE</w:t>
      </w:r>
    </w:p>
    <w:p w14:paraId="072DFD63" w14:textId="77777777" w:rsidR="00C032E4" w:rsidRPr="00DA45B4" w:rsidRDefault="00C032E4" w:rsidP="00785FF7">
      <w:pPr>
        <w:pStyle w:val="ListParagraph"/>
        <w:numPr>
          <w:ilvl w:val="1"/>
          <w:numId w:val="2"/>
        </w:numPr>
        <w:tabs>
          <w:tab w:val="left" w:pos="772"/>
          <w:tab w:val="left" w:pos="1168"/>
        </w:tabs>
        <w:ind w:left="567" w:firstLine="0"/>
        <w:jc w:val="both"/>
        <w:rPr>
          <w:rFonts w:cstheme="minorHAnsi"/>
        </w:rPr>
      </w:pPr>
      <w:r w:rsidRPr="00DA45B4">
        <w:rPr>
          <w:rFonts w:cstheme="minorHAnsi"/>
        </w:rPr>
        <w:t>Toote kirjeldus.</w:t>
      </w:r>
    </w:p>
    <w:p w14:paraId="0A5E6F5F" w14:textId="77777777" w:rsidR="00C032E4" w:rsidRPr="00801F8D" w:rsidRDefault="00C032E4" w:rsidP="00801F8D">
      <w:pPr>
        <w:tabs>
          <w:tab w:val="left" w:pos="772"/>
        </w:tabs>
        <w:jc w:val="both"/>
        <w:rPr>
          <w:rFonts w:cstheme="minorHAnsi"/>
        </w:rPr>
      </w:pPr>
    </w:p>
    <w:p w14:paraId="63E35006"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Välivormi müts koosneb mütsilaest, mütsiküljest, </w:t>
      </w:r>
      <w:proofErr w:type="spellStart"/>
      <w:r w:rsidRPr="00DA45B4">
        <w:rPr>
          <w:rFonts w:cstheme="minorHAnsi"/>
        </w:rPr>
        <w:t>kõrvadeosast</w:t>
      </w:r>
      <w:proofErr w:type="spellEnd"/>
      <w:r w:rsidRPr="00DA45B4">
        <w:rPr>
          <w:rFonts w:cstheme="minorHAnsi"/>
        </w:rPr>
        <w:t xml:space="preserve"> ja mütsinokast. </w:t>
      </w:r>
    </w:p>
    <w:p w14:paraId="2281DF15"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Mütsinokk on kaetud põhimaterjaliga. </w:t>
      </w:r>
    </w:p>
    <w:p w14:paraId="6B57E77E"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Mütsi </w:t>
      </w:r>
      <w:proofErr w:type="spellStart"/>
      <w:r w:rsidRPr="00DA45B4">
        <w:rPr>
          <w:rFonts w:cstheme="minorHAnsi"/>
        </w:rPr>
        <w:t>kõrvadeosa</w:t>
      </w:r>
      <w:proofErr w:type="spellEnd"/>
      <w:r w:rsidRPr="00DA45B4">
        <w:rPr>
          <w:rFonts w:cstheme="minorHAnsi"/>
        </w:rPr>
        <w:t xml:space="preserve"> ja mütsikülg on</w:t>
      </w:r>
      <w:r w:rsidRPr="00DA45B4">
        <w:rPr>
          <w:rFonts w:cstheme="minorHAnsi"/>
          <w:b/>
        </w:rPr>
        <w:t xml:space="preserve"> </w:t>
      </w:r>
      <w:r w:rsidRPr="00DA45B4">
        <w:rPr>
          <w:rFonts w:cstheme="minorHAnsi"/>
        </w:rPr>
        <w:t xml:space="preserve">voodriga. </w:t>
      </w:r>
    </w:p>
    <w:p w14:paraId="2658B5D3"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Mütsilagi on ovaalne. Mütsilagi on õmmeldud mütsikülje ja mütsikülje voodri vahele. </w:t>
      </w:r>
    </w:p>
    <w:p w14:paraId="34442C9B"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Mütsikülje alumisele äärele on õmmeldud figuurne detail. </w:t>
      </w:r>
    </w:p>
    <w:p w14:paraId="366FFEB1"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Mütsikülje ühendusõmblus on mütsi tagaosa </w:t>
      </w:r>
      <w:proofErr w:type="spellStart"/>
      <w:r w:rsidRPr="00DA45B4">
        <w:rPr>
          <w:rFonts w:cstheme="minorHAnsi"/>
        </w:rPr>
        <w:t>keskjoonel</w:t>
      </w:r>
      <w:proofErr w:type="spellEnd"/>
      <w:r w:rsidRPr="00DA45B4">
        <w:rPr>
          <w:rFonts w:cstheme="minorHAnsi"/>
        </w:rPr>
        <w:t xml:space="preserve">, õmblusvaru on lahku tepitud. </w:t>
      </w:r>
    </w:p>
    <w:p w14:paraId="018A919D" w14:textId="77777777" w:rsidR="00C032E4" w:rsidRPr="00DA45B4" w:rsidRDefault="00C032E4" w:rsidP="00C032E4">
      <w:pPr>
        <w:tabs>
          <w:tab w:val="left" w:pos="1168"/>
        </w:tabs>
        <w:spacing w:after="0"/>
        <w:ind w:left="1168"/>
        <w:jc w:val="both"/>
        <w:rPr>
          <w:rFonts w:cstheme="minorHAnsi"/>
        </w:rPr>
      </w:pPr>
      <w:proofErr w:type="spellStart"/>
      <w:r w:rsidRPr="00DA45B4">
        <w:rPr>
          <w:rFonts w:cstheme="minorHAnsi"/>
        </w:rPr>
        <w:t>Kõrvadeosal</w:t>
      </w:r>
      <w:proofErr w:type="spellEnd"/>
      <w:r w:rsidRPr="00DA45B4">
        <w:rPr>
          <w:rFonts w:cstheme="minorHAnsi"/>
        </w:rPr>
        <w:t xml:space="preserve"> on vormi hoidmiseks </w:t>
      </w:r>
      <w:proofErr w:type="spellStart"/>
      <w:r w:rsidRPr="00DA45B4">
        <w:rPr>
          <w:rFonts w:cstheme="minorHAnsi"/>
        </w:rPr>
        <w:t>sissevõtted</w:t>
      </w:r>
      <w:proofErr w:type="spellEnd"/>
      <w:r w:rsidRPr="00DA45B4">
        <w:rPr>
          <w:rFonts w:cstheme="minorHAnsi"/>
        </w:rPr>
        <w:t xml:space="preserve">. </w:t>
      </w:r>
      <w:proofErr w:type="spellStart"/>
      <w:r w:rsidRPr="00DA45B4">
        <w:rPr>
          <w:rFonts w:cstheme="minorHAnsi"/>
        </w:rPr>
        <w:t>Kõrvadeosa</w:t>
      </w:r>
      <w:proofErr w:type="spellEnd"/>
      <w:r w:rsidRPr="00DA45B4">
        <w:rPr>
          <w:rFonts w:cstheme="minorHAnsi"/>
        </w:rPr>
        <w:t xml:space="preserve"> ja nokk on õmmeldud mütsikülje ja mütsikülje voodri vahele.</w:t>
      </w:r>
    </w:p>
    <w:p w14:paraId="3C00E830" w14:textId="77777777" w:rsidR="00C032E4" w:rsidRPr="00DA45B4" w:rsidRDefault="00C032E4" w:rsidP="00C032E4">
      <w:pPr>
        <w:tabs>
          <w:tab w:val="left" w:pos="1168"/>
        </w:tabs>
        <w:spacing w:after="0"/>
        <w:ind w:left="1168"/>
        <w:jc w:val="both"/>
        <w:rPr>
          <w:rFonts w:cstheme="minorHAnsi"/>
        </w:rPr>
      </w:pPr>
    </w:p>
    <w:p w14:paraId="09D83D1A" w14:textId="1EB998AF" w:rsidR="00C032E4" w:rsidRPr="00DA45B4" w:rsidRDefault="00C032E4" w:rsidP="00C032E4">
      <w:pPr>
        <w:tabs>
          <w:tab w:val="left" w:pos="1168"/>
        </w:tabs>
        <w:spacing w:after="0"/>
        <w:ind w:left="1168"/>
        <w:jc w:val="both"/>
        <w:rPr>
          <w:rFonts w:cstheme="minorHAnsi"/>
        </w:rPr>
      </w:pPr>
      <w:r w:rsidRPr="00DA45B4">
        <w:rPr>
          <w:rFonts w:cstheme="minorHAnsi"/>
          <w:u w:val="single"/>
        </w:rPr>
        <w:t xml:space="preserve">Kokard on kootud. </w:t>
      </w:r>
      <w:r w:rsidR="00356A7C">
        <w:rPr>
          <w:rFonts w:cstheme="minorHAnsi"/>
        </w:rPr>
        <w:t xml:space="preserve">Kokardi valmismõõt on </w:t>
      </w:r>
      <w:r w:rsidRPr="00DA45B4">
        <w:rPr>
          <w:rFonts w:cstheme="minorHAnsi"/>
        </w:rPr>
        <w:t>3,0 × 3,0</w:t>
      </w:r>
      <w:r w:rsidR="00356A7C">
        <w:rPr>
          <w:rFonts w:cstheme="minorHAnsi"/>
        </w:rPr>
        <w:t xml:space="preserve"> +/- 0,1</w:t>
      </w:r>
      <w:r w:rsidRPr="00DA45B4">
        <w:rPr>
          <w:rFonts w:cstheme="minorHAnsi"/>
        </w:rPr>
        <w:t xml:space="preserve"> cm. Välimise ringi (värvus sinine) läbimõõt on 2,3 cm. Keskmise ringi (värvus must) läbimõõt on 1,6 cm. Sisemise ringi (värvus valge) läbimõõt on 0,8 cm.</w:t>
      </w:r>
      <w:r w:rsidR="00356A7C">
        <w:rPr>
          <w:rFonts w:cstheme="minorHAnsi"/>
        </w:rPr>
        <w:t xml:space="preserve"> Kõigi värvuste laius ringis on ühesugune.</w:t>
      </w:r>
    </w:p>
    <w:p w14:paraId="47ACCE36" w14:textId="77777777" w:rsidR="00C032E4" w:rsidRPr="00DA45B4" w:rsidRDefault="00C032E4" w:rsidP="00C032E4">
      <w:pPr>
        <w:tabs>
          <w:tab w:val="left" w:pos="1168"/>
        </w:tabs>
        <w:spacing w:after="0"/>
        <w:ind w:left="1168"/>
        <w:jc w:val="both"/>
        <w:rPr>
          <w:rFonts w:cstheme="minorHAnsi"/>
        </w:rPr>
      </w:pPr>
      <w:r w:rsidRPr="00DA45B4">
        <w:rPr>
          <w:rFonts w:cstheme="minorHAnsi"/>
        </w:rPr>
        <w:t xml:space="preserve">Kokard on õmmeldud mütsi esiosas figuurse detaili õmblusest ülespoole </w:t>
      </w:r>
      <w:proofErr w:type="spellStart"/>
      <w:r w:rsidRPr="00DA45B4">
        <w:rPr>
          <w:rFonts w:cstheme="minorHAnsi"/>
        </w:rPr>
        <w:t>keskjoonele</w:t>
      </w:r>
      <w:proofErr w:type="spellEnd"/>
      <w:r w:rsidRPr="00DA45B4">
        <w:rPr>
          <w:rFonts w:cstheme="minorHAnsi"/>
        </w:rPr>
        <w:t xml:space="preserve">. </w:t>
      </w:r>
    </w:p>
    <w:p w14:paraId="4B6FB732" w14:textId="77777777" w:rsidR="00C032E4" w:rsidRPr="00DA45B4" w:rsidRDefault="00C032E4" w:rsidP="00C032E4">
      <w:pPr>
        <w:tabs>
          <w:tab w:val="left" w:pos="1168"/>
        </w:tabs>
        <w:spacing w:after="0"/>
        <w:ind w:left="1168"/>
        <w:contextualSpacing/>
        <w:jc w:val="both"/>
        <w:rPr>
          <w:rFonts w:cstheme="minorHAnsi"/>
        </w:rPr>
      </w:pPr>
    </w:p>
    <w:p w14:paraId="17D3E13E" w14:textId="77777777" w:rsidR="00C032E4" w:rsidRDefault="00C032E4" w:rsidP="00C032E4">
      <w:pPr>
        <w:tabs>
          <w:tab w:val="left" w:pos="1168"/>
        </w:tabs>
        <w:spacing w:after="0"/>
        <w:ind w:left="1168"/>
        <w:contextualSpacing/>
        <w:jc w:val="both"/>
        <w:rPr>
          <w:rFonts w:cstheme="minorHAnsi"/>
        </w:rPr>
      </w:pPr>
      <w:r w:rsidRPr="00DA45B4">
        <w:rPr>
          <w:rFonts w:cstheme="minorHAnsi"/>
        </w:rPr>
        <w:lastRenderedPageBreak/>
        <w:t>Toote valmistamiseks vajalikud materjalid peavad vastama vähemalt järgmistele hooldustingimustele:</w:t>
      </w:r>
    </w:p>
    <w:p w14:paraId="3674C677" w14:textId="77777777" w:rsidR="00C032E4" w:rsidRPr="00DA45B4" w:rsidRDefault="00C032E4" w:rsidP="00C032E4">
      <w:pPr>
        <w:tabs>
          <w:tab w:val="left" w:pos="1168"/>
        </w:tabs>
        <w:spacing w:after="0"/>
        <w:ind w:left="1168"/>
        <w:contextualSpacing/>
        <w:jc w:val="both"/>
        <w:rPr>
          <w:rFonts w:cstheme="minorHAnsi"/>
        </w:rPr>
      </w:pPr>
    </w:p>
    <w:p w14:paraId="38EE8CE3" w14:textId="77777777" w:rsidR="00E80745" w:rsidRDefault="00C032E4" w:rsidP="00C032E4">
      <w:pPr>
        <w:pStyle w:val="ListParagraph"/>
        <w:rPr>
          <w:rFonts w:cstheme="minorHAnsi"/>
        </w:rPr>
      </w:pPr>
      <w:r>
        <w:rPr>
          <w:rFonts w:cstheme="minorHAnsi"/>
        </w:rPr>
        <w:t xml:space="preserve"> </w:t>
      </w:r>
      <w:r>
        <w:rPr>
          <w:rFonts w:cstheme="minorHAnsi"/>
        </w:rPr>
        <w:tab/>
      </w:r>
      <w:r w:rsidRPr="00DA45B4">
        <w:rPr>
          <w:rFonts w:cstheme="minorHAnsi"/>
        </w:rPr>
        <w:object w:dxaOrig="405" w:dyaOrig="225" w14:anchorId="7EE5D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1.4pt" o:ole="">
            <v:imagedata r:id="rId5" o:title=""/>
          </v:shape>
          <o:OLEObject Type="Embed" ProgID="PBrush" ShapeID="_x0000_i1025" DrawAspect="Content" ObjectID="_1712738865" r:id="rId6"/>
        </w:object>
      </w:r>
      <w:r>
        <w:rPr>
          <w:rFonts w:cstheme="minorHAnsi"/>
        </w:rPr>
        <w:t xml:space="preserve">  </w:t>
      </w:r>
      <w:r w:rsidRPr="00DA45B4">
        <w:rPr>
          <w:rFonts w:cstheme="minorHAnsi"/>
        </w:rPr>
        <w:object w:dxaOrig="255" w:dyaOrig="285" w14:anchorId="51AEE4EA">
          <v:shape id="_x0000_i1026" type="#_x0000_t75" style="width:12.75pt;height:14.15pt" o:ole="">
            <v:imagedata r:id="rId7" o:title=""/>
          </v:shape>
          <o:OLEObject Type="Embed" ProgID="PBrush" ShapeID="_x0000_i1026" DrawAspect="Content" ObjectID="_1712738866" r:id="rId8"/>
        </w:object>
      </w:r>
      <w:r>
        <w:rPr>
          <w:rFonts w:cstheme="minorHAnsi"/>
        </w:rPr>
        <w:t xml:space="preserve">   </w:t>
      </w:r>
      <w:r w:rsidRPr="00DA45B4">
        <w:rPr>
          <w:rFonts w:cstheme="minorHAnsi"/>
        </w:rPr>
        <w:object w:dxaOrig="405" w:dyaOrig="225" w14:anchorId="3D90C272">
          <v:shape id="_x0000_i1027" type="#_x0000_t75" style="width:20.05pt;height:11.4pt" o:ole="">
            <v:imagedata r:id="rId9" o:title=""/>
          </v:shape>
          <o:OLEObject Type="Embed" ProgID="PBrush" ShapeID="_x0000_i1027" DrawAspect="Content" ObjectID="_1712738867" r:id="rId10"/>
        </w:object>
      </w:r>
      <w:r>
        <w:rPr>
          <w:rFonts w:cstheme="minorHAnsi"/>
        </w:rPr>
        <w:t xml:space="preserve">  </w:t>
      </w:r>
      <w:r w:rsidRPr="00DA45B4">
        <w:rPr>
          <w:rFonts w:cstheme="minorHAnsi"/>
        </w:rPr>
        <w:object w:dxaOrig="225" w:dyaOrig="225" w14:anchorId="7580564B">
          <v:shape id="_x0000_i1028" type="#_x0000_t75" style="width:11.4pt;height:11.4pt" o:ole="">
            <v:imagedata r:id="rId11" o:title=""/>
          </v:shape>
          <o:OLEObject Type="Embed" ProgID="PBrush" ShapeID="_x0000_i1028" DrawAspect="Content" ObjectID="_1712738868" r:id="rId12"/>
        </w:object>
      </w:r>
      <w:r>
        <w:rPr>
          <w:rFonts w:cstheme="minorHAnsi"/>
        </w:rPr>
        <w:t xml:space="preserve">  </w:t>
      </w:r>
      <w:r w:rsidRPr="00DA45B4">
        <w:rPr>
          <w:rFonts w:cstheme="minorHAnsi"/>
        </w:rPr>
        <w:object w:dxaOrig="270" w:dyaOrig="270" w14:anchorId="577B7501">
          <v:shape id="_x0000_i1029" type="#_x0000_t75" style="width:13.65pt;height:13.65pt" o:ole="">
            <v:imagedata r:id="rId13" o:title=""/>
          </v:shape>
          <o:OLEObject Type="Embed" ProgID="PBrush" ShapeID="_x0000_i1029" DrawAspect="Content" ObjectID="_1712738869" r:id="rId14"/>
        </w:object>
      </w:r>
    </w:p>
    <w:p w14:paraId="329FA925" w14:textId="77777777" w:rsidR="005D1F19" w:rsidRDefault="005D1F19" w:rsidP="00C032E4">
      <w:pPr>
        <w:pStyle w:val="ListParagraph"/>
        <w:rPr>
          <w:rFonts w:cstheme="minorHAnsi"/>
        </w:rPr>
      </w:pPr>
    </w:p>
    <w:p w14:paraId="3228D1A0" w14:textId="77777777" w:rsidR="00C032E4" w:rsidRPr="00DA45B4" w:rsidRDefault="00C032E4" w:rsidP="00C032E4">
      <w:pPr>
        <w:pStyle w:val="ListParagraph"/>
        <w:numPr>
          <w:ilvl w:val="1"/>
          <w:numId w:val="2"/>
        </w:numPr>
        <w:tabs>
          <w:tab w:val="left" w:pos="772"/>
          <w:tab w:val="left" w:pos="1136"/>
        </w:tabs>
        <w:ind w:left="567" w:firstLine="0"/>
        <w:jc w:val="both"/>
        <w:rPr>
          <w:rFonts w:cstheme="minorHAnsi"/>
        </w:rPr>
      </w:pPr>
      <w:r w:rsidRPr="00DA45B4">
        <w:rPr>
          <w:rFonts w:cstheme="minorHAnsi"/>
        </w:rPr>
        <w:t>Üldnõuded</w:t>
      </w:r>
    </w:p>
    <w:p w14:paraId="62FEB127" w14:textId="77777777" w:rsidR="00C032E4" w:rsidRPr="00DA45B4" w:rsidRDefault="00C032E4" w:rsidP="00C032E4">
      <w:pPr>
        <w:pStyle w:val="ListParagraph"/>
        <w:tabs>
          <w:tab w:val="left" w:pos="772"/>
        </w:tabs>
        <w:ind w:left="567"/>
        <w:jc w:val="both"/>
        <w:rPr>
          <w:rFonts w:cstheme="minorHAnsi"/>
        </w:rPr>
      </w:pPr>
    </w:p>
    <w:p w14:paraId="5FDF10B0"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Toode on valmistatud tehnil</w:t>
      </w:r>
      <w:r w:rsidR="00785FF7">
        <w:rPr>
          <w:rFonts w:cstheme="minorHAnsi"/>
        </w:rPr>
        <w:t xml:space="preserve">ise kirjelduse ja etteantud </w:t>
      </w:r>
      <w:r w:rsidRPr="00DA45B4">
        <w:rPr>
          <w:rFonts w:cstheme="minorHAnsi"/>
        </w:rPr>
        <w:t>lõike põhjal.</w:t>
      </w:r>
    </w:p>
    <w:p w14:paraId="0B9022E2"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Tehn</w:t>
      </w:r>
      <w:r w:rsidR="00785FF7">
        <w:rPr>
          <w:rFonts w:cstheme="minorHAnsi"/>
        </w:rPr>
        <w:t>ilises kirjelduses toodud värv</w:t>
      </w:r>
      <w:r w:rsidR="00352BF3">
        <w:rPr>
          <w:rFonts w:cstheme="minorHAnsi"/>
        </w:rPr>
        <w:t>id</w:t>
      </w:r>
      <w:r w:rsidRPr="00DA45B4">
        <w:rPr>
          <w:rFonts w:cstheme="minorHAnsi"/>
        </w:rPr>
        <w:t xml:space="preserve"> on esitatud „Pantone FASHION HOME + INTERIORS“ 2013. a värvikaardi järgi.</w:t>
      </w:r>
    </w:p>
    <w:p w14:paraId="3396DDA4"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Tootjapoolsel kvalitee</w:t>
      </w:r>
      <w:r w:rsidR="00785FF7">
        <w:rPr>
          <w:rFonts w:cstheme="minorHAnsi"/>
        </w:rPr>
        <w:t>di tagamisel järgitakse ISO 9001</w:t>
      </w:r>
      <w:r w:rsidRPr="00DA45B4">
        <w:rPr>
          <w:rFonts w:cstheme="minorHAnsi"/>
        </w:rPr>
        <w:t xml:space="preserve"> seeria standardeid.</w:t>
      </w:r>
    </w:p>
    <w:p w14:paraId="3DC1B67E"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Tootja peab kindlustama, et kõik tema poolt kasutatavad materjalid on kooskõlas käesoleva kirjelduse punktis 2 esitatud nõuetega.</w:t>
      </w:r>
    </w:p>
    <w:p w14:paraId="4B82D86A" w14:textId="77777777" w:rsidR="00C032E4" w:rsidRPr="00DA45B4" w:rsidRDefault="00C032E4" w:rsidP="00C032E4">
      <w:pPr>
        <w:numPr>
          <w:ilvl w:val="1"/>
          <w:numId w:val="2"/>
        </w:numPr>
        <w:tabs>
          <w:tab w:val="left" w:pos="772"/>
          <w:tab w:val="left" w:pos="1168"/>
        </w:tabs>
        <w:ind w:left="567" w:firstLine="0"/>
        <w:contextualSpacing/>
        <w:jc w:val="both"/>
        <w:rPr>
          <w:rFonts w:cstheme="minorHAnsi"/>
        </w:rPr>
      </w:pPr>
      <w:r w:rsidRPr="00DA45B4">
        <w:rPr>
          <w:rFonts w:cstheme="minorHAnsi"/>
        </w:rPr>
        <w:t>Juurdelõikus</w:t>
      </w:r>
    </w:p>
    <w:p w14:paraId="75B52FC6" w14:textId="77777777" w:rsidR="00C032E4" w:rsidRPr="00DA45B4" w:rsidRDefault="00C032E4" w:rsidP="00C032E4">
      <w:pPr>
        <w:tabs>
          <w:tab w:val="left" w:pos="772"/>
        </w:tabs>
        <w:ind w:left="567"/>
        <w:contextualSpacing/>
        <w:jc w:val="both"/>
        <w:rPr>
          <w:rFonts w:cstheme="minorHAnsi"/>
        </w:rPr>
      </w:pPr>
    </w:p>
    <w:p w14:paraId="42F6B3E5" w14:textId="77777777" w:rsidR="00C032E4" w:rsidRPr="00DA45B4" w:rsidRDefault="00C032E4" w:rsidP="00C032E4">
      <w:pPr>
        <w:pStyle w:val="ListParagraph"/>
        <w:numPr>
          <w:ilvl w:val="0"/>
          <w:numId w:val="3"/>
        </w:numPr>
        <w:tabs>
          <w:tab w:val="left" w:pos="772"/>
          <w:tab w:val="left" w:pos="1593"/>
        </w:tabs>
        <w:ind w:left="1494"/>
        <w:jc w:val="both"/>
        <w:rPr>
          <w:rFonts w:cstheme="minorHAnsi"/>
        </w:rPr>
      </w:pPr>
      <w:r w:rsidRPr="00DA45B4">
        <w:rPr>
          <w:rFonts w:cstheme="minorHAnsi"/>
        </w:rPr>
        <w:t>Materjali lõimesuund ühtib lekaalil märgitud lõimesuunaga.</w:t>
      </w:r>
    </w:p>
    <w:p w14:paraId="0D602080" w14:textId="77777777" w:rsidR="00C032E4" w:rsidRPr="00DA45B4" w:rsidRDefault="00C032E4" w:rsidP="00C032E4">
      <w:pPr>
        <w:pStyle w:val="ListParagraph"/>
        <w:numPr>
          <w:ilvl w:val="0"/>
          <w:numId w:val="3"/>
        </w:numPr>
        <w:tabs>
          <w:tab w:val="left" w:pos="772"/>
          <w:tab w:val="left" w:pos="1593"/>
        </w:tabs>
        <w:ind w:left="1494"/>
        <w:jc w:val="both"/>
        <w:rPr>
          <w:rFonts w:cstheme="minorHAnsi"/>
        </w:rPr>
      </w:pPr>
      <w:r w:rsidRPr="00DA45B4">
        <w:rPr>
          <w:rFonts w:cstheme="minorHAnsi"/>
        </w:rPr>
        <w:t>Lõigetel olevad vastasmärgid ja muud vajalikud sisemised punktid on tehtud juurdelõigatud detailidele vastavalt tootja poolt väljatöötatud tehnoloogiale.</w:t>
      </w:r>
    </w:p>
    <w:p w14:paraId="3BCB8CD7" w14:textId="77777777" w:rsidR="00C032E4" w:rsidRPr="00DA45B4" w:rsidRDefault="00C032E4" w:rsidP="00C032E4">
      <w:pPr>
        <w:pStyle w:val="ListParagraph"/>
        <w:numPr>
          <w:ilvl w:val="0"/>
          <w:numId w:val="3"/>
        </w:numPr>
        <w:tabs>
          <w:tab w:val="left" w:pos="772"/>
          <w:tab w:val="left" w:pos="1593"/>
        </w:tabs>
        <w:ind w:left="1494"/>
        <w:jc w:val="both"/>
        <w:rPr>
          <w:rFonts w:cstheme="minorHAnsi"/>
        </w:rPr>
      </w:pPr>
      <w:r w:rsidRPr="00DA45B4">
        <w:rPr>
          <w:rFonts w:cstheme="minorHAnsi"/>
        </w:rPr>
        <w:t>Õmblemist lihtsustavad märgid ei ole mingil moel kahjustanud toote korrektsust ja väljanägemist ei paremalt ega pahemalt poolt.</w:t>
      </w:r>
    </w:p>
    <w:p w14:paraId="0AE6F2BE" w14:textId="77777777" w:rsidR="00C032E4" w:rsidRPr="00DA45B4" w:rsidRDefault="00C032E4" w:rsidP="00C032E4">
      <w:pPr>
        <w:pStyle w:val="ListParagraph"/>
        <w:numPr>
          <w:ilvl w:val="0"/>
          <w:numId w:val="3"/>
        </w:numPr>
        <w:tabs>
          <w:tab w:val="left" w:pos="772"/>
          <w:tab w:val="left" w:pos="1593"/>
        </w:tabs>
        <w:ind w:left="1494"/>
        <w:jc w:val="both"/>
        <w:rPr>
          <w:rFonts w:cstheme="minorHAnsi"/>
        </w:rPr>
      </w:pPr>
      <w:r w:rsidRPr="00DA45B4">
        <w:rPr>
          <w:rFonts w:cstheme="minorHAnsi"/>
        </w:rPr>
        <w:t>Värvierinevuste vältimiseks on kõik ühe toote detailid lõigatud ühest kangarullist.</w:t>
      </w:r>
    </w:p>
    <w:p w14:paraId="35F982E3" w14:textId="1FCDDE47" w:rsidR="00061B17" w:rsidRPr="00DD153F" w:rsidRDefault="00C032E4" w:rsidP="00061B17">
      <w:pPr>
        <w:pStyle w:val="ListParagraph"/>
        <w:numPr>
          <w:ilvl w:val="0"/>
          <w:numId w:val="3"/>
        </w:numPr>
        <w:tabs>
          <w:tab w:val="left" w:pos="772"/>
          <w:tab w:val="left" w:pos="1593"/>
        </w:tabs>
        <w:ind w:left="1494"/>
        <w:jc w:val="both"/>
        <w:rPr>
          <w:rFonts w:cstheme="minorHAnsi"/>
        </w:rPr>
      </w:pPr>
      <w:r w:rsidRPr="00DA45B4">
        <w:rPr>
          <w:rFonts w:cstheme="minorHAnsi"/>
        </w:rPr>
        <w:t>Etiketi kinnitamisel tootele kuumpressmeetodil on järgitud vastavalt sellele kangale etteantud temperatuuri ja survet – etikett ei tohi tootel lahti tulla.</w:t>
      </w:r>
    </w:p>
    <w:p w14:paraId="401EFE4E" w14:textId="77777777" w:rsidR="00061B17" w:rsidRPr="00061B17" w:rsidRDefault="00061B17" w:rsidP="00061B17">
      <w:pPr>
        <w:tabs>
          <w:tab w:val="left" w:pos="772"/>
          <w:tab w:val="left" w:pos="1593"/>
        </w:tabs>
        <w:jc w:val="both"/>
        <w:rPr>
          <w:rFonts w:cstheme="minorHAnsi"/>
        </w:rPr>
      </w:pPr>
    </w:p>
    <w:p w14:paraId="000EC6E3" w14:textId="77777777" w:rsidR="00C032E4" w:rsidRPr="00061B17" w:rsidRDefault="00C032E4" w:rsidP="00061B17">
      <w:pPr>
        <w:numPr>
          <w:ilvl w:val="1"/>
          <w:numId w:val="2"/>
        </w:numPr>
        <w:tabs>
          <w:tab w:val="left" w:pos="772"/>
          <w:tab w:val="left" w:pos="1168"/>
        </w:tabs>
        <w:ind w:left="567" w:firstLine="0"/>
        <w:contextualSpacing/>
        <w:jc w:val="both"/>
        <w:rPr>
          <w:rFonts w:cstheme="minorHAnsi"/>
        </w:rPr>
      </w:pPr>
      <w:r w:rsidRPr="00DA45B4">
        <w:rPr>
          <w:rFonts w:cstheme="minorHAnsi"/>
        </w:rPr>
        <w:t>Õmblemine</w:t>
      </w:r>
    </w:p>
    <w:p w14:paraId="51F0B00E"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Kõik õmblused on õmmeldud õige niidi pingega, pistete põimumine toimub süstikpistel materjalide kihtide vahel.</w:t>
      </w:r>
    </w:p>
    <w:p w14:paraId="199EEEC5"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 xml:space="preserve">Kõik õmblused on mõlemast otsast edasi-tagasi kinnitatud, kinnitus asub täpselt õmblusjoonel. </w:t>
      </w:r>
    </w:p>
    <w:p w14:paraId="013AA8FA"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 xml:space="preserve">Jätkukohad õmblustes on märkamatud. </w:t>
      </w:r>
    </w:p>
    <w:p w14:paraId="42713525"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 xml:space="preserve">Kõik ühendusõmblused on õmmeldud paralleelselt detaili lõikeservaga. </w:t>
      </w:r>
    </w:p>
    <w:p w14:paraId="0C109A5F"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Kõik kapingud on paralleelsed ühendusõmbluse servaga.</w:t>
      </w:r>
    </w:p>
    <w:p w14:paraId="73FEE9DA"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Materjal ei ole purunenud nõelatorke kohtadest</w:t>
      </w:r>
    </w:p>
    <w:p w14:paraId="155E4B01" w14:textId="77777777" w:rsidR="00C032E4" w:rsidRPr="00DA45B4" w:rsidRDefault="00C032E4" w:rsidP="00C032E4">
      <w:pPr>
        <w:pStyle w:val="ListParagraph"/>
        <w:numPr>
          <w:ilvl w:val="0"/>
          <w:numId w:val="3"/>
        </w:numPr>
        <w:tabs>
          <w:tab w:val="left" w:pos="772"/>
        </w:tabs>
        <w:ind w:left="1494"/>
        <w:jc w:val="both"/>
        <w:rPr>
          <w:rFonts w:cstheme="minorHAnsi"/>
        </w:rPr>
      </w:pPr>
      <w:r w:rsidRPr="00DA45B4">
        <w:rPr>
          <w:rFonts w:cstheme="minorHAnsi"/>
        </w:rPr>
        <w:t>Kapingud: 0,5 cm kaping on kõrvade osas; 0,2 cm kapingud on mütsiküljel.</w:t>
      </w:r>
    </w:p>
    <w:p w14:paraId="5D70341D" w14:textId="77777777" w:rsidR="00C032E4" w:rsidRPr="00DA45B4" w:rsidRDefault="00C032E4" w:rsidP="00C032E4">
      <w:pPr>
        <w:tabs>
          <w:tab w:val="left" w:pos="772"/>
        </w:tabs>
        <w:ind w:left="346"/>
        <w:contextualSpacing/>
        <w:jc w:val="both"/>
        <w:rPr>
          <w:rFonts w:cstheme="minorHAnsi"/>
        </w:rPr>
      </w:pPr>
    </w:p>
    <w:p w14:paraId="348C12B4" w14:textId="77777777" w:rsidR="00C032E4" w:rsidRPr="00DA45B4" w:rsidRDefault="00C032E4" w:rsidP="00061B17">
      <w:pPr>
        <w:numPr>
          <w:ilvl w:val="1"/>
          <w:numId w:val="2"/>
        </w:numPr>
        <w:tabs>
          <w:tab w:val="left" w:pos="772"/>
          <w:tab w:val="left" w:pos="1136"/>
        </w:tabs>
        <w:spacing w:after="0"/>
        <w:ind w:left="567" w:firstLine="0"/>
        <w:contextualSpacing/>
        <w:jc w:val="both"/>
        <w:rPr>
          <w:rFonts w:cstheme="minorHAnsi"/>
        </w:rPr>
      </w:pPr>
      <w:r w:rsidRPr="00DA45B4">
        <w:rPr>
          <w:rFonts w:cstheme="minorHAnsi"/>
        </w:rPr>
        <w:t>Viimistlus</w:t>
      </w:r>
    </w:p>
    <w:p w14:paraId="7CB658E1" w14:textId="77777777" w:rsidR="00C032E4" w:rsidRPr="00DA45B4" w:rsidRDefault="00C032E4" w:rsidP="00061B17">
      <w:pPr>
        <w:tabs>
          <w:tab w:val="left" w:pos="772"/>
          <w:tab w:val="left" w:pos="1136"/>
        </w:tabs>
        <w:spacing w:after="0"/>
        <w:ind w:left="567"/>
        <w:contextualSpacing/>
        <w:jc w:val="both"/>
        <w:rPr>
          <w:rFonts w:cstheme="minorHAnsi"/>
        </w:rPr>
      </w:pPr>
    </w:p>
    <w:p w14:paraId="7A7CB99A" w14:textId="77777777" w:rsidR="00C032E4" w:rsidRPr="00DA45B4" w:rsidRDefault="00C032E4" w:rsidP="00061B17">
      <w:pPr>
        <w:pStyle w:val="ListParagraph"/>
        <w:numPr>
          <w:ilvl w:val="0"/>
          <w:numId w:val="3"/>
        </w:numPr>
        <w:tabs>
          <w:tab w:val="left" w:pos="772"/>
        </w:tabs>
        <w:spacing w:after="0"/>
        <w:ind w:left="1494"/>
        <w:jc w:val="both"/>
        <w:rPr>
          <w:rFonts w:cstheme="minorHAnsi"/>
        </w:rPr>
      </w:pPr>
      <w:r w:rsidRPr="00DA45B4">
        <w:rPr>
          <w:rFonts w:cstheme="minorHAnsi"/>
        </w:rPr>
        <w:t>Toode on puhastatud lahtistest niidiotstest.</w:t>
      </w:r>
    </w:p>
    <w:p w14:paraId="1DE9518B" w14:textId="77777777" w:rsidR="00C032E4" w:rsidRPr="00DA45B4" w:rsidRDefault="00785FF7" w:rsidP="00061B17">
      <w:pPr>
        <w:pStyle w:val="ListParagraph"/>
        <w:numPr>
          <w:ilvl w:val="0"/>
          <w:numId w:val="3"/>
        </w:numPr>
        <w:tabs>
          <w:tab w:val="left" w:pos="772"/>
        </w:tabs>
        <w:spacing w:after="0"/>
        <w:ind w:left="1494"/>
        <w:jc w:val="both"/>
        <w:rPr>
          <w:rFonts w:cstheme="minorHAnsi"/>
        </w:rPr>
      </w:pPr>
      <w:r>
        <w:rPr>
          <w:rFonts w:cstheme="minorHAnsi"/>
        </w:rPr>
        <w:t>Tootel ei ole kuum</w:t>
      </w:r>
      <w:r w:rsidR="00C032E4" w:rsidRPr="00DA45B4">
        <w:rPr>
          <w:rFonts w:cstheme="minorHAnsi"/>
        </w:rPr>
        <w:t>niiske töötlemise jälgi.</w:t>
      </w:r>
    </w:p>
    <w:p w14:paraId="1AE9FA12" w14:textId="77777777" w:rsidR="00C032E4" w:rsidRPr="00DA45B4" w:rsidRDefault="00C032E4" w:rsidP="00C032E4">
      <w:pPr>
        <w:tabs>
          <w:tab w:val="left" w:pos="772"/>
        </w:tabs>
        <w:ind w:left="346"/>
        <w:contextualSpacing/>
        <w:jc w:val="both"/>
        <w:rPr>
          <w:rFonts w:cstheme="minorHAnsi"/>
        </w:rPr>
      </w:pPr>
    </w:p>
    <w:p w14:paraId="1D2B3D56" w14:textId="77777777" w:rsidR="00C032E4" w:rsidRDefault="00C032E4" w:rsidP="00C032E4">
      <w:pPr>
        <w:numPr>
          <w:ilvl w:val="1"/>
          <w:numId w:val="2"/>
        </w:numPr>
        <w:tabs>
          <w:tab w:val="left" w:pos="772"/>
          <w:tab w:val="left" w:pos="1168"/>
        </w:tabs>
        <w:ind w:left="567" w:firstLine="0"/>
        <w:contextualSpacing/>
        <w:jc w:val="both"/>
        <w:rPr>
          <w:rFonts w:cstheme="minorHAnsi"/>
        </w:rPr>
      </w:pPr>
      <w:r w:rsidRPr="00DA45B4">
        <w:rPr>
          <w:rFonts w:cstheme="minorHAnsi"/>
        </w:rPr>
        <w:t>Näidised</w:t>
      </w:r>
    </w:p>
    <w:p w14:paraId="1EDCD9F2" w14:textId="77777777" w:rsidR="00785FF7" w:rsidRPr="00DA45B4" w:rsidRDefault="00785FF7" w:rsidP="00785FF7">
      <w:pPr>
        <w:tabs>
          <w:tab w:val="left" w:pos="772"/>
          <w:tab w:val="left" w:pos="1168"/>
        </w:tabs>
        <w:ind w:left="567"/>
        <w:contextualSpacing/>
        <w:jc w:val="both"/>
        <w:rPr>
          <w:rFonts w:cstheme="minorHAnsi"/>
        </w:rPr>
      </w:pPr>
    </w:p>
    <w:p w14:paraId="78DB23C2" w14:textId="77777777" w:rsidR="00547EF4" w:rsidRPr="00547EF4" w:rsidRDefault="00DD153F" w:rsidP="00547EF4">
      <w:pPr>
        <w:tabs>
          <w:tab w:val="left" w:pos="1168"/>
          <w:tab w:val="left" w:pos="1260"/>
        </w:tabs>
        <w:spacing w:after="0" w:line="240" w:lineRule="auto"/>
        <w:ind w:left="993" w:right="3"/>
        <w:jc w:val="both"/>
        <w:rPr>
          <w:rFonts w:cstheme="minorHAnsi"/>
        </w:rPr>
      </w:pPr>
      <w:r w:rsidRPr="00DD153F">
        <w:rPr>
          <w:rFonts w:cstheme="minorHAnsi"/>
        </w:rPr>
        <w:t xml:space="preserve">Edukas pakkuja esitab toote näidise enne tootmise alustamist hankijale kinnitamiseks ning näidise valmistamisele kuluv aeg arvestatakse pakutava tarneaja sisse. Hankija kontrollib esitatud tootenäidist tehnilise kirjelduse alusel ning tulemused fikseeritakse kirjalikku </w:t>
      </w:r>
      <w:r w:rsidRPr="00DD153F">
        <w:rPr>
          <w:rFonts w:cstheme="minorHAnsi"/>
        </w:rPr>
        <w:lastRenderedPageBreak/>
        <w:t xml:space="preserve">taasesitamist võimaldavas vormis. Kui näidis ei vasta tehnilises kirjelduses nõutud tingimustele, on hankijal õigus esitada parandusettepanekud ning pakkujal kohustus parandused sisse viia. Juhul kui pakkuja ei esita tehnilisele kirjeldusele vastavat näidist ka teist korda, on hankijal õigus korraldada uus minikonkurss ning leida uus partner lepingu täitmiseks. Heaks kiidetud tootenäidist kasutatakse võrdlusmaterjalina toodangu kvaliteedi kontrollimisel. </w:t>
      </w:r>
      <w:r w:rsidR="00547EF4" w:rsidRPr="00547EF4">
        <w:rPr>
          <w:rFonts w:cstheme="minorHAnsi"/>
        </w:rPr>
        <w:t xml:space="preserve">Heaks kiidetud tootenäidist ei tagastata pakkujale ning see arvestatakse hiljem toodangu hulka.  </w:t>
      </w:r>
    </w:p>
    <w:p w14:paraId="04270DA9" w14:textId="3083F964" w:rsidR="00DD153F" w:rsidRPr="00DA45B4" w:rsidRDefault="00DD153F" w:rsidP="00E422B0">
      <w:pPr>
        <w:tabs>
          <w:tab w:val="left" w:pos="1168"/>
        </w:tabs>
        <w:contextualSpacing/>
        <w:jc w:val="both"/>
        <w:rPr>
          <w:rFonts w:cstheme="minorHAnsi"/>
        </w:rPr>
      </w:pPr>
      <w:bookmarkStart w:id="0" w:name="_GoBack"/>
      <w:bookmarkEnd w:id="0"/>
    </w:p>
    <w:p w14:paraId="0D42612A" w14:textId="77777777" w:rsidR="00C032E4" w:rsidRDefault="00C032E4" w:rsidP="007A665D">
      <w:r>
        <w:t>2.</w:t>
      </w:r>
      <w:r>
        <w:tab/>
        <w:t>MATERJALID</w:t>
      </w:r>
    </w:p>
    <w:p w14:paraId="46964F37" w14:textId="77777777" w:rsidR="00801F8D" w:rsidRPr="0062671B" w:rsidRDefault="00801F8D" w:rsidP="00801F8D">
      <w:pPr>
        <w:pStyle w:val="ListParagraph"/>
        <w:tabs>
          <w:tab w:val="left" w:pos="567"/>
          <w:tab w:val="left" w:pos="1452"/>
        </w:tabs>
        <w:ind w:left="567"/>
        <w:jc w:val="both"/>
        <w:rPr>
          <w:rFonts w:cstheme="minorHAnsi"/>
        </w:rPr>
      </w:pPr>
      <w:r w:rsidRPr="00EB4FBD">
        <w:rPr>
          <w:rFonts w:cstheme="minorHAnsi"/>
        </w:rPr>
        <w:t xml:space="preserve">Toote valmistamiseks vajalikud materjalid vastavad tehnilises kirjelduses kehtestatud nõuetele või on nendega </w:t>
      </w:r>
      <w:r w:rsidRPr="0062671B">
        <w:rPr>
          <w:rFonts w:cstheme="minorHAnsi"/>
        </w:rPr>
        <w:t>samaväärsed. Samaväärsete materjalide kasutamisel, lisab pakkuja pakkumuse hulka dokumendid, mis tõendavad materjali samaväärsust.</w:t>
      </w:r>
    </w:p>
    <w:p w14:paraId="0F69CB59" w14:textId="77777777" w:rsidR="00801F8D" w:rsidRPr="00EB4FBD" w:rsidRDefault="00801F8D" w:rsidP="00801F8D">
      <w:pPr>
        <w:pStyle w:val="ListParagraph"/>
        <w:tabs>
          <w:tab w:val="left" w:pos="567"/>
          <w:tab w:val="left" w:pos="1452"/>
        </w:tabs>
        <w:ind w:left="567" w:hanging="207"/>
        <w:jc w:val="both"/>
        <w:rPr>
          <w:rFonts w:cstheme="minorHAnsi"/>
        </w:rPr>
      </w:pPr>
      <w:r>
        <w:rPr>
          <w:rFonts w:cstheme="minorHAnsi"/>
        </w:rPr>
        <w:tab/>
      </w:r>
      <w:r w:rsidRPr="00EB4FBD">
        <w:rPr>
          <w:rFonts w:cstheme="minorHAnsi"/>
        </w:rPr>
        <w:t>Pakkuja poolt pakutava materjali tolerants peab mahtuma hankija etteantud vahemikku</w:t>
      </w:r>
      <w:r>
        <w:rPr>
          <w:rFonts w:cstheme="minorHAnsi"/>
        </w:rPr>
        <w:t xml:space="preserve"> või olema samaväärne</w:t>
      </w:r>
      <w:r w:rsidRPr="00EB4FBD">
        <w:rPr>
          <w:rFonts w:cstheme="minorHAnsi"/>
        </w:rPr>
        <w:t>.</w:t>
      </w:r>
    </w:p>
    <w:p w14:paraId="68AACB0E" w14:textId="77777777" w:rsidR="00C032E4" w:rsidRDefault="00C032E4" w:rsidP="00C032E4">
      <w:pPr>
        <w:pStyle w:val="ListParagraph"/>
      </w:pPr>
    </w:p>
    <w:p w14:paraId="7B3CBAFD" w14:textId="77777777" w:rsidR="00C032E4" w:rsidRDefault="00C032E4" w:rsidP="00C032E4">
      <w:pPr>
        <w:pStyle w:val="ListParagraph"/>
      </w:pPr>
      <w:r>
        <w:t>2.1.</w:t>
      </w:r>
      <w:r>
        <w:tab/>
        <w:t>Põhimate</w:t>
      </w:r>
      <w:r w:rsidR="00785FF7">
        <w:t xml:space="preserve">rjal (tehniline kirjeldus Lisa </w:t>
      </w:r>
      <w:r>
        <w:t>)</w:t>
      </w:r>
    </w:p>
    <w:p w14:paraId="63DE731F" w14:textId="77777777" w:rsidR="00C032E4" w:rsidRDefault="00C032E4" w:rsidP="00C032E4">
      <w:pPr>
        <w:pStyle w:val="ListParagraph"/>
      </w:pPr>
      <w:r>
        <w:t>Kanga koostis</w:t>
      </w:r>
      <w:r>
        <w:tab/>
      </w:r>
      <w:r w:rsidR="00785FF7" w:rsidRPr="00785FF7">
        <w:t xml:space="preserve">50% +/- 3% CO/50%+/- 3% PES  </w:t>
      </w:r>
    </w:p>
    <w:p w14:paraId="67F345CD" w14:textId="77777777" w:rsidR="00C032E4" w:rsidRDefault="00C032E4" w:rsidP="00C032E4">
      <w:pPr>
        <w:pStyle w:val="ListParagraph"/>
      </w:pPr>
    </w:p>
    <w:p w14:paraId="7AC9A5A2" w14:textId="77777777" w:rsidR="00C032E4" w:rsidRDefault="00C032E4" w:rsidP="00C032E4">
      <w:pPr>
        <w:pStyle w:val="ListParagraph"/>
      </w:pPr>
      <w:r>
        <w:t>2.2.</w:t>
      </w:r>
      <w:r>
        <w:tab/>
        <w:t>Abimaterjalid</w:t>
      </w:r>
    </w:p>
    <w:p w14:paraId="24E421BA" w14:textId="77777777" w:rsidR="00C032E4" w:rsidRDefault="00C032E4" w:rsidP="00C032E4">
      <w:pPr>
        <w:pStyle w:val="ListParagraph"/>
      </w:pPr>
    </w:p>
    <w:p w14:paraId="5EEEA95F" w14:textId="77777777" w:rsidR="00C032E4" w:rsidRDefault="00C032E4" w:rsidP="00785FF7">
      <w:pPr>
        <w:pStyle w:val="ListParagraph"/>
        <w:ind w:firstLine="698"/>
      </w:pPr>
      <w:r>
        <w:t>2.2.1.</w:t>
      </w:r>
      <w:r>
        <w:tab/>
        <w:t xml:space="preserve">Voodrimaterjal </w:t>
      </w:r>
    </w:p>
    <w:p w14:paraId="04E48253" w14:textId="77777777" w:rsidR="00C032E4" w:rsidRDefault="00C032E4" w:rsidP="00C032E4">
      <w:pPr>
        <w:pStyle w:val="ListParagraph"/>
      </w:pPr>
    </w:p>
    <w:p w14:paraId="4D685157" w14:textId="77777777" w:rsidR="00C032E4" w:rsidRDefault="00785FF7" w:rsidP="00785FF7">
      <w:pPr>
        <w:pStyle w:val="ListParagraph"/>
        <w:ind w:firstLine="698"/>
      </w:pPr>
      <w:r>
        <w:t>Koostis</w:t>
      </w:r>
      <w:r>
        <w:tab/>
        <w:t>vähemalt 6</w:t>
      </w:r>
      <w:r w:rsidR="00C032E4">
        <w:t>0% puuvill</w:t>
      </w:r>
      <w:r w:rsidR="00061B17">
        <w:t xml:space="preserve"> või samaväärne</w:t>
      </w:r>
      <w:r w:rsidR="00C032E4">
        <w:tab/>
      </w:r>
      <w:r w:rsidR="00C032E4">
        <w:tab/>
      </w:r>
    </w:p>
    <w:p w14:paraId="3605505F" w14:textId="77777777" w:rsidR="00C032E4" w:rsidRDefault="00C032E4" w:rsidP="00785FF7">
      <w:pPr>
        <w:pStyle w:val="ListParagraph"/>
        <w:ind w:firstLine="698"/>
      </w:pPr>
      <w:r>
        <w:t>Värvus</w:t>
      </w:r>
      <w:r>
        <w:tab/>
        <w:t>tumeroheline 18-0322 TP CYPRESS või ligilähedane</w:t>
      </w:r>
    </w:p>
    <w:p w14:paraId="04E91738" w14:textId="77777777" w:rsidR="00C032E4" w:rsidRDefault="00061B17" w:rsidP="00785FF7">
      <w:pPr>
        <w:pStyle w:val="ListParagraph"/>
        <w:ind w:firstLine="698"/>
      </w:pPr>
      <w:r>
        <w:t>Kaal</w:t>
      </w:r>
      <w:r>
        <w:tab/>
      </w:r>
      <w:r w:rsidR="00785FF7">
        <w:t>90</w:t>
      </w:r>
      <w:r w:rsidR="00352BF3">
        <w:t>-15</w:t>
      </w:r>
      <w:r w:rsidR="00C032E4">
        <w:t>0 g/m²</w:t>
      </w:r>
      <w:r w:rsidR="00C032E4">
        <w:tab/>
      </w:r>
      <w:r w:rsidR="00C032E4">
        <w:tab/>
      </w:r>
    </w:p>
    <w:p w14:paraId="7D2C767D" w14:textId="77777777" w:rsidR="00C032E4" w:rsidRDefault="00C032E4" w:rsidP="00C032E4">
      <w:pPr>
        <w:pStyle w:val="ListParagraph"/>
      </w:pPr>
    </w:p>
    <w:p w14:paraId="2DCA8DA0" w14:textId="77777777" w:rsidR="00C032E4" w:rsidRDefault="00C032E4" w:rsidP="00352BF3">
      <w:pPr>
        <w:pStyle w:val="ListParagraph"/>
        <w:ind w:firstLine="698"/>
      </w:pPr>
      <w:r>
        <w:t>2.2.2.</w:t>
      </w:r>
      <w:r>
        <w:tab/>
        <w:t xml:space="preserve">Kootud kokard (mütsimärk) </w:t>
      </w:r>
    </w:p>
    <w:p w14:paraId="4EA80279" w14:textId="77777777" w:rsidR="00C032E4" w:rsidRDefault="00C032E4" w:rsidP="00C032E4">
      <w:pPr>
        <w:pStyle w:val="ListParagraph"/>
      </w:pPr>
    </w:p>
    <w:p w14:paraId="1E73C383" w14:textId="77777777" w:rsidR="00C032E4" w:rsidRDefault="00C032E4" w:rsidP="00352BF3">
      <w:pPr>
        <w:pStyle w:val="ListParagraph"/>
        <w:ind w:firstLine="698"/>
      </w:pPr>
      <w:r>
        <w:t>Suurus</w:t>
      </w:r>
      <w:r>
        <w:tab/>
      </w:r>
      <w:r w:rsidR="00352BF3" w:rsidRPr="00352BF3">
        <w:t xml:space="preserve">Ø </w:t>
      </w:r>
      <w:r>
        <w:t>30 mm</w:t>
      </w:r>
    </w:p>
    <w:p w14:paraId="5A202D1D" w14:textId="77777777" w:rsidR="00C032E4" w:rsidRDefault="00C032E4" w:rsidP="00C032E4">
      <w:pPr>
        <w:pStyle w:val="ListParagraph"/>
      </w:pPr>
    </w:p>
    <w:p w14:paraId="1F6F980A" w14:textId="77777777" w:rsidR="00C032E4" w:rsidRDefault="00C032E4" w:rsidP="001D3918">
      <w:pPr>
        <w:pStyle w:val="ListParagraph"/>
        <w:ind w:firstLine="698"/>
      </w:pPr>
      <w:r>
        <w:t>Kokardi värvid:</w:t>
      </w:r>
    </w:p>
    <w:p w14:paraId="17287DB2" w14:textId="77777777" w:rsidR="00C032E4" w:rsidRDefault="00C032E4" w:rsidP="00C032E4">
      <w:pPr>
        <w:pStyle w:val="ListParagraph"/>
      </w:pPr>
    </w:p>
    <w:p w14:paraId="076AC2C6" w14:textId="77777777" w:rsidR="00C032E4" w:rsidRDefault="001D3918" w:rsidP="001D3918">
      <w:pPr>
        <w:pStyle w:val="ListParagraph"/>
        <w:ind w:firstLine="698"/>
      </w:pPr>
      <w:r>
        <w:t xml:space="preserve">- </w:t>
      </w:r>
      <w:r w:rsidR="00C032E4">
        <w:t>tausta värvus Pant</w:t>
      </w:r>
      <w:r w:rsidR="00801F8D">
        <w:t>one 19-0622 TPX MILITARY OLIVE või lähedane;</w:t>
      </w:r>
    </w:p>
    <w:p w14:paraId="25BEE6BF" w14:textId="77777777" w:rsidR="00C032E4" w:rsidRDefault="001D3918" w:rsidP="00801F8D">
      <w:pPr>
        <w:pStyle w:val="ListParagraph"/>
        <w:tabs>
          <w:tab w:val="left" w:pos="1701"/>
        </w:tabs>
        <w:ind w:left="1416" w:firstLine="2"/>
      </w:pPr>
      <w:r>
        <w:t xml:space="preserve">- </w:t>
      </w:r>
      <w:r w:rsidR="00C032E4">
        <w:t xml:space="preserve">välimine ring sinine, värvus Pantone 18-4252 </w:t>
      </w:r>
      <w:r w:rsidR="00801F8D">
        <w:t>TPX BLUE ASTER – suurus Ø 23 mm või lähedane;</w:t>
      </w:r>
    </w:p>
    <w:p w14:paraId="27A6E56F" w14:textId="77777777" w:rsidR="00C032E4" w:rsidRDefault="001D3918" w:rsidP="00801F8D">
      <w:pPr>
        <w:pStyle w:val="ListParagraph"/>
        <w:ind w:left="1416" w:firstLine="2"/>
      </w:pPr>
      <w:r>
        <w:t xml:space="preserve">- </w:t>
      </w:r>
      <w:r w:rsidR="00C032E4">
        <w:t>keskmine ring must, värvus Pantone 19-4</w:t>
      </w:r>
      <w:r w:rsidR="00801F8D">
        <w:t>205 TPX PHANTON – suurus Ø 16mm või lähedane;</w:t>
      </w:r>
    </w:p>
    <w:p w14:paraId="48BCA811" w14:textId="77777777" w:rsidR="00C032E4" w:rsidRDefault="001D3918" w:rsidP="00801F8D">
      <w:pPr>
        <w:pStyle w:val="ListParagraph"/>
        <w:ind w:left="1416" w:firstLine="2"/>
      </w:pPr>
      <w:r>
        <w:t xml:space="preserve">- </w:t>
      </w:r>
      <w:r w:rsidR="00C032E4">
        <w:t>sisemine ring valge, värvus Pantone 11-0601</w:t>
      </w:r>
      <w:r w:rsidR="00801F8D">
        <w:t xml:space="preserve"> TPX BRIGHT WHITE suurus Ø 8 mm või lähedane.</w:t>
      </w:r>
    </w:p>
    <w:p w14:paraId="08887EBA" w14:textId="77777777" w:rsidR="00C032E4" w:rsidRDefault="00C032E4" w:rsidP="00C032E4">
      <w:pPr>
        <w:pStyle w:val="ListParagraph"/>
      </w:pPr>
    </w:p>
    <w:p w14:paraId="77726448" w14:textId="77777777" w:rsidR="00C032E4" w:rsidRDefault="00C032E4" w:rsidP="001D3918">
      <w:pPr>
        <w:pStyle w:val="ListParagraph"/>
        <w:ind w:firstLine="698"/>
      </w:pPr>
      <w:r>
        <w:t>2.2.3.</w:t>
      </w:r>
      <w:r>
        <w:tab/>
        <w:t>Noka materjal</w:t>
      </w:r>
    </w:p>
    <w:p w14:paraId="7A7E1FA1" w14:textId="77777777" w:rsidR="00C032E4" w:rsidRDefault="00C032E4" w:rsidP="00C032E4">
      <w:pPr>
        <w:pStyle w:val="ListParagraph"/>
      </w:pPr>
    </w:p>
    <w:p w14:paraId="53905EE5" w14:textId="77777777" w:rsidR="00C032E4" w:rsidRDefault="00C032E4" w:rsidP="00A52163">
      <w:pPr>
        <w:pStyle w:val="ListParagraph"/>
        <w:tabs>
          <w:tab w:val="left" w:pos="3119"/>
        </w:tabs>
        <w:ind w:firstLine="698"/>
      </w:pPr>
      <w:r>
        <w:t>Koostis</w:t>
      </w:r>
      <w:r>
        <w:tab/>
      </w:r>
      <w:r>
        <w:tab/>
      </w:r>
      <w:r w:rsidR="00A52163">
        <w:tab/>
      </w:r>
      <w:r>
        <w:t>soovitavalt etüleenpolümeer</w:t>
      </w:r>
    </w:p>
    <w:p w14:paraId="64955753" w14:textId="77777777" w:rsidR="00C032E4" w:rsidRDefault="00C032E4" w:rsidP="00A52163">
      <w:pPr>
        <w:pStyle w:val="ListParagraph"/>
        <w:ind w:firstLine="698"/>
      </w:pPr>
      <w:r>
        <w:t>Tihedus</w:t>
      </w:r>
      <w:r>
        <w:tab/>
      </w:r>
      <w:r>
        <w:tab/>
      </w:r>
      <w:r w:rsidR="00061B17">
        <w:tab/>
      </w:r>
      <w:r w:rsidR="00A52163">
        <w:tab/>
      </w:r>
      <w:r w:rsidR="001D3918">
        <w:t>0,9</w:t>
      </w:r>
      <w:r>
        <w:t>–</w:t>
      </w:r>
      <w:r w:rsidR="001D3918">
        <w:t>1,0</w:t>
      </w:r>
      <w:r>
        <w:t xml:space="preserve"> g/cm3</w:t>
      </w:r>
    </w:p>
    <w:p w14:paraId="5043E6B7" w14:textId="77777777" w:rsidR="00C032E4" w:rsidRDefault="00C032E4" w:rsidP="00A52163">
      <w:pPr>
        <w:pStyle w:val="ListParagraph"/>
        <w:ind w:firstLine="698"/>
      </w:pPr>
      <w:r>
        <w:t>Paksus</w:t>
      </w:r>
      <w:r>
        <w:tab/>
      </w:r>
      <w:r>
        <w:tab/>
      </w:r>
      <w:r w:rsidR="00061B17">
        <w:tab/>
      </w:r>
      <w:r w:rsidR="00061B17">
        <w:tab/>
      </w:r>
      <w:r>
        <w:t>1,5-2 mm</w:t>
      </w:r>
    </w:p>
    <w:p w14:paraId="57F6D2F8" w14:textId="77777777" w:rsidR="00C032E4" w:rsidRDefault="00C032E4" w:rsidP="00A52163">
      <w:pPr>
        <w:pStyle w:val="ListParagraph"/>
        <w:ind w:firstLine="698"/>
      </w:pPr>
      <w:r>
        <w:t>Elastsuse tõmbemoodul</w:t>
      </w:r>
      <w:r>
        <w:tab/>
        <w:t>1000-1100 MPa</w:t>
      </w:r>
    </w:p>
    <w:p w14:paraId="330861CA" w14:textId="77777777" w:rsidR="00C032E4" w:rsidRDefault="00C032E4" w:rsidP="00C032E4">
      <w:pPr>
        <w:pStyle w:val="ListParagraph"/>
      </w:pPr>
    </w:p>
    <w:p w14:paraId="639C5939" w14:textId="77777777" w:rsidR="00C032E4" w:rsidRDefault="00C032E4" w:rsidP="00A52163">
      <w:pPr>
        <w:pStyle w:val="ListParagraph"/>
        <w:ind w:firstLine="698"/>
      </w:pPr>
      <w:r>
        <w:t>2.2.4.</w:t>
      </w:r>
      <w:r>
        <w:tab/>
        <w:t>Õmblusniit</w:t>
      </w:r>
    </w:p>
    <w:p w14:paraId="0017CD8E" w14:textId="77777777" w:rsidR="00C032E4" w:rsidRDefault="00C032E4" w:rsidP="00C032E4">
      <w:pPr>
        <w:pStyle w:val="ListParagraph"/>
      </w:pPr>
    </w:p>
    <w:p w14:paraId="2C357F01" w14:textId="77777777" w:rsidR="00C032E4" w:rsidRDefault="00C032E4" w:rsidP="00A52163">
      <w:pPr>
        <w:pStyle w:val="ListParagraph"/>
        <w:ind w:firstLine="698"/>
      </w:pPr>
      <w:r>
        <w:t>Värvus</w:t>
      </w:r>
      <w:r>
        <w:tab/>
      </w:r>
      <w:r>
        <w:tab/>
      </w:r>
      <w:r>
        <w:tab/>
      </w:r>
      <w:r>
        <w:tab/>
      </w:r>
      <w:r w:rsidR="001D3918" w:rsidRPr="001D3918">
        <w:t>19-0622 TPX MILITARY OLIVE</w:t>
      </w:r>
      <w:r w:rsidR="00801F8D">
        <w:t xml:space="preserve"> või lähedane</w:t>
      </w:r>
    </w:p>
    <w:p w14:paraId="1B56089B" w14:textId="77777777" w:rsidR="00C032E4" w:rsidRDefault="00C032E4" w:rsidP="00A52163">
      <w:pPr>
        <w:pStyle w:val="ListParagraph"/>
        <w:ind w:firstLine="698"/>
      </w:pPr>
      <w:r>
        <w:t>Koostis</w:t>
      </w:r>
      <w:r>
        <w:tab/>
      </w:r>
      <w:r>
        <w:tab/>
      </w:r>
      <w:r>
        <w:tab/>
      </w:r>
      <w:r w:rsidR="00061B17">
        <w:tab/>
      </w:r>
      <w:r>
        <w:t>PES</w:t>
      </w:r>
      <w:r w:rsidR="001D3918">
        <w:t xml:space="preserve"> või samaväärne</w:t>
      </w:r>
    </w:p>
    <w:p w14:paraId="4E94EF1C" w14:textId="77777777" w:rsidR="00C032E4" w:rsidRDefault="00C032E4" w:rsidP="00A52163">
      <w:pPr>
        <w:pStyle w:val="ListParagraph"/>
        <w:ind w:firstLine="698"/>
      </w:pPr>
      <w:r>
        <w:t xml:space="preserve">Kokkutõmbuvus </w:t>
      </w:r>
      <w:r>
        <w:tab/>
      </w:r>
      <w:r w:rsidR="00061B17">
        <w:tab/>
      </w:r>
      <w:r w:rsidR="001D3918">
        <w:t>150 ºC juures 0–2</w:t>
      </w:r>
      <w:r>
        <w:t>%</w:t>
      </w:r>
    </w:p>
    <w:p w14:paraId="42A5E5FB" w14:textId="77777777" w:rsidR="00C032E4" w:rsidRDefault="00C032E4" w:rsidP="00A52163">
      <w:pPr>
        <w:pStyle w:val="ListParagraph"/>
        <w:ind w:firstLine="698"/>
      </w:pPr>
      <w:r>
        <w:t xml:space="preserve">Venivus </w:t>
      </w:r>
      <w:r>
        <w:tab/>
      </w:r>
      <w:r>
        <w:tab/>
      </w:r>
      <w:r w:rsidR="00061B17">
        <w:tab/>
      </w:r>
      <w:r w:rsidR="001D3918">
        <w:t>15-23</w:t>
      </w:r>
      <w:r>
        <w:t>%</w:t>
      </w:r>
    </w:p>
    <w:p w14:paraId="71749BBB" w14:textId="77777777" w:rsidR="00C032E4" w:rsidRDefault="00C032E4" w:rsidP="00A52163">
      <w:pPr>
        <w:pStyle w:val="ListParagraph"/>
        <w:ind w:firstLine="698"/>
      </w:pPr>
      <w:r>
        <w:t xml:space="preserve">Tugevus </w:t>
      </w:r>
      <w:r>
        <w:tab/>
      </w:r>
      <w:r>
        <w:tab/>
      </w:r>
      <w:r w:rsidR="00061B17">
        <w:tab/>
      </w:r>
      <w:r>
        <w:t>min 1500 cN</w:t>
      </w:r>
    </w:p>
    <w:p w14:paraId="21875510" w14:textId="77777777" w:rsidR="00C032E4" w:rsidRDefault="00C032E4" w:rsidP="00A52163">
      <w:pPr>
        <w:pStyle w:val="ListParagraph"/>
        <w:ind w:firstLine="698"/>
      </w:pPr>
      <w:r>
        <w:t xml:space="preserve">Värvipüsivus: </w:t>
      </w:r>
    </w:p>
    <w:p w14:paraId="5FD711AA" w14:textId="77777777" w:rsidR="00C032E4" w:rsidRDefault="00C032E4" w:rsidP="00A52163">
      <w:pPr>
        <w:pStyle w:val="ListParagraph"/>
        <w:ind w:firstLine="698"/>
      </w:pPr>
      <w:r>
        <w:t>vee toimele</w:t>
      </w:r>
      <w:r>
        <w:tab/>
      </w:r>
      <w:r>
        <w:tab/>
      </w:r>
      <w:r w:rsidR="00061B17">
        <w:tab/>
      </w:r>
      <w:r>
        <w:t>min 4</w:t>
      </w:r>
      <w:r>
        <w:tab/>
      </w:r>
      <w:r>
        <w:tab/>
      </w:r>
      <w:r>
        <w:tab/>
        <w:t>ISO 105 E01</w:t>
      </w:r>
    </w:p>
    <w:p w14:paraId="58CD9234" w14:textId="77777777" w:rsidR="00C032E4" w:rsidRDefault="00C032E4" w:rsidP="00A52163">
      <w:pPr>
        <w:pStyle w:val="ListParagraph"/>
        <w:ind w:firstLine="698"/>
      </w:pPr>
      <w:r>
        <w:t>hõõrdumise toimele</w:t>
      </w:r>
      <w:r>
        <w:tab/>
      </w:r>
      <w:r w:rsidR="00061B17">
        <w:tab/>
      </w:r>
      <w:r>
        <w:t>min 4</w:t>
      </w:r>
      <w:r>
        <w:tab/>
      </w:r>
      <w:r>
        <w:tab/>
      </w:r>
      <w:r>
        <w:tab/>
        <w:t>ISO 105 X12</w:t>
      </w:r>
    </w:p>
    <w:p w14:paraId="616EC0DC" w14:textId="77777777" w:rsidR="00C032E4" w:rsidRDefault="00C032E4" w:rsidP="00A52163">
      <w:pPr>
        <w:pStyle w:val="ListParagraph"/>
        <w:ind w:firstLine="698"/>
      </w:pPr>
      <w:r>
        <w:t>higi toimele</w:t>
      </w:r>
      <w:r>
        <w:tab/>
      </w:r>
      <w:r>
        <w:tab/>
      </w:r>
      <w:r w:rsidR="00061B17">
        <w:tab/>
      </w:r>
      <w:r>
        <w:t>min 4</w:t>
      </w:r>
      <w:r>
        <w:tab/>
      </w:r>
      <w:r>
        <w:tab/>
      </w:r>
      <w:r>
        <w:tab/>
        <w:t>ISO 105 E04</w:t>
      </w:r>
    </w:p>
    <w:p w14:paraId="70E9AE4E" w14:textId="77777777" w:rsidR="00C032E4" w:rsidRDefault="00C032E4" w:rsidP="00A52163">
      <w:pPr>
        <w:pStyle w:val="ListParagraph"/>
        <w:ind w:firstLine="698"/>
      </w:pPr>
      <w:r>
        <w:t xml:space="preserve">pesemise toimele </w:t>
      </w:r>
      <w:r>
        <w:tab/>
      </w:r>
      <w:r w:rsidR="00061B17">
        <w:tab/>
      </w:r>
      <w:r w:rsidR="003046F5">
        <w:t>min 4</w:t>
      </w:r>
      <w:r w:rsidR="003046F5">
        <w:tab/>
      </w:r>
      <w:r w:rsidR="003046F5">
        <w:tab/>
      </w:r>
      <w:r w:rsidR="003046F5">
        <w:tab/>
        <w:t>ISO 105 C06</w:t>
      </w:r>
    </w:p>
    <w:p w14:paraId="4FD0E63D" w14:textId="77777777" w:rsidR="00C032E4" w:rsidRDefault="00C032E4" w:rsidP="00C032E4">
      <w:pPr>
        <w:pStyle w:val="ListParagraph"/>
      </w:pPr>
    </w:p>
    <w:p w14:paraId="1C1D8E66" w14:textId="77777777" w:rsidR="00801F8D" w:rsidRDefault="00801F8D" w:rsidP="00C032E4">
      <w:pPr>
        <w:pStyle w:val="ListParagraph"/>
      </w:pPr>
    </w:p>
    <w:p w14:paraId="34ECA989" w14:textId="77777777" w:rsidR="00801F8D" w:rsidRDefault="00801F8D" w:rsidP="00C032E4">
      <w:pPr>
        <w:pStyle w:val="ListParagraph"/>
      </w:pPr>
    </w:p>
    <w:p w14:paraId="7630B55F" w14:textId="77777777" w:rsidR="00801F8D" w:rsidRDefault="00801F8D" w:rsidP="00C032E4">
      <w:pPr>
        <w:pStyle w:val="ListParagraph"/>
      </w:pPr>
    </w:p>
    <w:p w14:paraId="45AAFE17" w14:textId="77777777" w:rsidR="00C032E4" w:rsidRDefault="00C032E4" w:rsidP="00C032E4">
      <w:pPr>
        <w:pStyle w:val="ListParagraph"/>
      </w:pPr>
      <w:r>
        <w:t>3.</w:t>
      </w:r>
      <w:r>
        <w:tab/>
        <w:t>TOOTE MARKEERIMINE</w:t>
      </w:r>
    </w:p>
    <w:p w14:paraId="4BE28681" w14:textId="77777777" w:rsidR="00C032E4" w:rsidRDefault="00C032E4" w:rsidP="00C032E4">
      <w:pPr>
        <w:pStyle w:val="ListParagraph"/>
      </w:pPr>
    </w:p>
    <w:p w14:paraId="4C4EEE03" w14:textId="77777777" w:rsidR="00C032E4" w:rsidRDefault="00C032E4" w:rsidP="00C032E4">
      <w:pPr>
        <w:pStyle w:val="ListParagraph"/>
      </w:pPr>
      <w:r>
        <w:t>Toode peab tarnimisel olema markeeritud alljärgnevalt:</w:t>
      </w:r>
      <w:r>
        <w:tab/>
      </w:r>
    </w:p>
    <w:p w14:paraId="0B0DB931" w14:textId="77777777" w:rsidR="00C032E4" w:rsidRDefault="00C032E4" w:rsidP="00C032E4">
      <w:pPr>
        <w:pStyle w:val="ListParagraph"/>
      </w:pPr>
      <w:r>
        <w:t>Etikett markeeringuga on kinnitatud kuumpress meetodil</w:t>
      </w:r>
      <w:r w:rsidR="00061B17">
        <w:t xml:space="preserve"> või õmmeldud</w:t>
      </w:r>
      <w:r>
        <w:t xml:space="preserve"> mütsilae külge.</w:t>
      </w:r>
    </w:p>
    <w:p w14:paraId="288646F2" w14:textId="77777777" w:rsidR="00C032E4" w:rsidRDefault="00C032E4" w:rsidP="00C032E4">
      <w:pPr>
        <w:pStyle w:val="ListParagraph"/>
      </w:pPr>
    </w:p>
    <w:p w14:paraId="425C89F4" w14:textId="77777777" w:rsidR="00C032E4" w:rsidRDefault="00C032E4" w:rsidP="00C032E4">
      <w:pPr>
        <w:pStyle w:val="ListParagraph"/>
      </w:pPr>
      <w:r>
        <w:t>Etiketi materjaliks on soovitavalt 100% PES.</w:t>
      </w:r>
    </w:p>
    <w:p w14:paraId="73253FE3" w14:textId="77777777" w:rsidR="00C032E4" w:rsidRDefault="00C032E4" w:rsidP="00C032E4">
      <w:pPr>
        <w:pStyle w:val="ListParagraph"/>
      </w:pPr>
      <w:r>
        <w:t>Etiketi värvus on valge ning teksti värvus must.</w:t>
      </w:r>
    </w:p>
    <w:p w14:paraId="7710D708" w14:textId="77777777" w:rsidR="00C032E4" w:rsidRDefault="00C032E4" w:rsidP="00C032E4">
      <w:pPr>
        <w:pStyle w:val="ListParagraph"/>
      </w:pPr>
      <w:r>
        <w:t>Etiketil on markeering alljärgnevas järjestuses:</w:t>
      </w:r>
    </w:p>
    <w:p w14:paraId="5C163994" w14:textId="77777777" w:rsidR="00C032E4" w:rsidRDefault="00C032E4" w:rsidP="00C032E4">
      <w:pPr>
        <w:pStyle w:val="ListParagraph"/>
      </w:pPr>
    </w:p>
    <w:p w14:paraId="5BABBD5A" w14:textId="77777777" w:rsidR="00C032E4" w:rsidRDefault="00C032E4" w:rsidP="00C032E4">
      <w:pPr>
        <w:pStyle w:val="ListParagraph"/>
      </w:pPr>
      <w:r>
        <w:t>-</w:t>
      </w:r>
      <w:r>
        <w:tab/>
        <w:t>suurus;</w:t>
      </w:r>
    </w:p>
    <w:p w14:paraId="668C16AF" w14:textId="77777777" w:rsidR="00C032E4" w:rsidRDefault="00C032E4" w:rsidP="00C032E4">
      <w:pPr>
        <w:pStyle w:val="ListParagraph"/>
      </w:pPr>
      <w:r>
        <w:t>-</w:t>
      </w:r>
      <w:r>
        <w:tab/>
        <w:t>nimetus;</w:t>
      </w:r>
    </w:p>
    <w:p w14:paraId="274F347B" w14:textId="77777777" w:rsidR="00C032E4" w:rsidRDefault="00C032E4" w:rsidP="00C032E4">
      <w:pPr>
        <w:pStyle w:val="ListParagraph"/>
      </w:pPr>
      <w:r>
        <w:t>-</w:t>
      </w:r>
      <w:r>
        <w:tab/>
        <w:t>hankelepingu</w:t>
      </w:r>
      <w:r w:rsidR="00061B17">
        <w:t>/tellimuse</w:t>
      </w:r>
      <w:r>
        <w:t xml:space="preserve"> osapool;</w:t>
      </w:r>
    </w:p>
    <w:p w14:paraId="249D24A8" w14:textId="77777777" w:rsidR="00C032E4" w:rsidRDefault="00C032E4" w:rsidP="00C032E4">
      <w:pPr>
        <w:pStyle w:val="ListParagraph"/>
      </w:pPr>
      <w:r>
        <w:t>-</w:t>
      </w:r>
      <w:r>
        <w:tab/>
        <w:t>hankelepingu</w:t>
      </w:r>
      <w:r w:rsidR="00061B17">
        <w:t>/tellimuse</w:t>
      </w:r>
      <w:r>
        <w:t xml:space="preserve"> number;</w:t>
      </w:r>
    </w:p>
    <w:p w14:paraId="3B940FEE" w14:textId="77777777" w:rsidR="00C032E4" w:rsidRDefault="00C032E4" w:rsidP="00C032E4">
      <w:pPr>
        <w:pStyle w:val="ListParagraph"/>
      </w:pPr>
      <w:r>
        <w:t>-</w:t>
      </w:r>
      <w:r>
        <w:tab/>
        <w:t>valmistamise aeg (kuu ja aasta);</w:t>
      </w:r>
    </w:p>
    <w:p w14:paraId="3A340191" w14:textId="77777777" w:rsidR="00C032E4" w:rsidRDefault="00C032E4" w:rsidP="00C032E4">
      <w:pPr>
        <w:pStyle w:val="ListParagraph"/>
      </w:pPr>
      <w:r>
        <w:t>-</w:t>
      </w:r>
      <w:r>
        <w:tab/>
        <w:t>materjali koostis;</w:t>
      </w:r>
    </w:p>
    <w:p w14:paraId="782CE4EC" w14:textId="77777777" w:rsidR="00C032E4" w:rsidRDefault="00C032E4" w:rsidP="00C032E4">
      <w:pPr>
        <w:pStyle w:val="ListParagraph"/>
      </w:pPr>
      <w:r>
        <w:t>-</w:t>
      </w:r>
      <w:r>
        <w:tab/>
        <w:t>hooldusmärgid;</w:t>
      </w:r>
    </w:p>
    <w:p w14:paraId="6D573C59" w14:textId="77777777" w:rsidR="00C032E4" w:rsidRDefault="00C032E4" w:rsidP="00C032E4">
      <w:pPr>
        <w:pStyle w:val="ListParagraph"/>
      </w:pPr>
      <w:r>
        <w:t>-</w:t>
      </w:r>
      <w:r>
        <w:tab/>
        <w:t xml:space="preserve">NSN-kood; </w:t>
      </w:r>
    </w:p>
    <w:p w14:paraId="46B32408" w14:textId="77777777" w:rsidR="00C032E4" w:rsidRDefault="00C032E4" w:rsidP="00C032E4">
      <w:pPr>
        <w:pStyle w:val="ListParagraph"/>
      </w:pPr>
      <w:r>
        <w:t>-</w:t>
      </w:r>
      <w:r>
        <w:tab/>
        <w:t>NSN-kood GS1-128 vöötkoodi formaadis (AI 7001);</w:t>
      </w:r>
    </w:p>
    <w:p w14:paraId="617A30EE" w14:textId="77777777" w:rsidR="00C032E4" w:rsidRDefault="00061B17" w:rsidP="00C032E4">
      <w:pPr>
        <w:pStyle w:val="ListParagraph"/>
      </w:pPr>
      <w:r>
        <w:t>-</w:t>
      </w:r>
      <w:r>
        <w:tab/>
        <w:t>variandi</w:t>
      </w:r>
      <w:r w:rsidR="00C032E4">
        <w:t>kood;</w:t>
      </w:r>
    </w:p>
    <w:p w14:paraId="27B3F520" w14:textId="77777777" w:rsidR="00C032E4" w:rsidRDefault="00061B17" w:rsidP="00C032E4">
      <w:pPr>
        <w:pStyle w:val="ListParagraph"/>
      </w:pPr>
      <w:r>
        <w:t>-</w:t>
      </w:r>
      <w:r>
        <w:tab/>
        <w:t>variandi</w:t>
      </w:r>
      <w:r w:rsidR="00C032E4">
        <w:t>kood GS1-128 vöötkoodi formaadis (AI 91).</w:t>
      </w:r>
    </w:p>
    <w:p w14:paraId="3DCF9E39" w14:textId="77777777" w:rsidR="00C032E4" w:rsidRDefault="00C032E4" w:rsidP="00C032E4">
      <w:pPr>
        <w:pStyle w:val="ListParagraph"/>
      </w:pPr>
    </w:p>
    <w:p w14:paraId="60F5C320" w14:textId="77777777" w:rsidR="00C032E4" w:rsidRDefault="00C032E4" w:rsidP="00C032E4">
      <w:pPr>
        <w:pStyle w:val="ListParagraph"/>
      </w:pPr>
      <w:r>
        <w:t>Markeering etiketil peab olema loetav toote kasutusaja lõpuni (tavapärane kasutamine ja pesu vähemalt 3 aastat).</w:t>
      </w:r>
    </w:p>
    <w:p w14:paraId="4F4B9B55" w14:textId="77777777" w:rsidR="00C032E4" w:rsidRDefault="00C032E4" w:rsidP="00C032E4">
      <w:pPr>
        <w:pStyle w:val="ListParagraph"/>
      </w:pPr>
    </w:p>
    <w:p w14:paraId="2292FD9F" w14:textId="77777777" w:rsidR="007A665D" w:rsidRDefault="007A665D" w:rsidP="00C032E4">
      <w:pPr>
        <w:pStyle w:val="ListParagraph"/>
      </w:pPr>
    </w:p>
    <w:p w14:paraId="7C188C42" w14:textId="77777777" w:rsidR="007A665D" w:rsidRDefault="007A665D" w:rsidP="00C032E4">
      <w:pPr>
        <w:pStyle w:val="ListParagraph"/>
      </w:pPr>
    </w:p>
    <w:p w14:paraId="54C9B577" w14:textId="77777777" w:rsidR="00C032E4" w:rsidRDefault="00C032E4" w:rsidP="00C032E4">
      <w:pPr>
        <w:pStyle w:val="ListParagraph"/>
      </w:pPr>
      <w:r>
        <w:t>4.</w:t>
      </w:r>
      <w:r>
        <w:tab/>
        <w:t>PAKENDAMINE</w:t>
      </w:r>
    </w:p>
    <w:p w14:paraId="594368E0" w14:textId="77777777" w:rsidR="00C032E4" w:rsidRDefault="00C032E4" w:rsidP="00C032E4">
      <w:pPr>
        <w:pStyle w:val="ListParagraph"/>
      </w:pPr>
    </w:p>
    <w:p w14:paraId="0A1B40A1" w14:textId="77777777" w:rsidR="00C032E4" w:rsidRDefault="00C032E4" w:rsidP="00061B17">
      <w:pPr>
        <w:pStyle w:val="ListParagraph"/>
        <w:jc w:val="both"/>
      </w:pPr>
      <w:r>
        <w:t>Toode tarnitakse pakendatuna alljärgnevalt:</w:t>
      </w:r>
    </w:p>
    <w:p w14:paraId="528B1F81" w14:textId="77278D83" w:rsidR="00C032E4" w:rsidRDefault="00C032E4" w:rsidP="00061B17">
      <w:pPr>
        <w:pStyle w:val="ListParagraph"/>
        <w:jc w:val="both"/>
      </w:pPr>
      <w:r>
        <w:t>Välivormi mütsid on pakendatud ilma täiendava pakkimiseta pakkekasti. Iga mütsi tagumine osa on murtud esipoole sisse ning seejärel on mütsid pakendatud pakkekasti üksteise sisse.</w:t>
      </w:r>
      <w:r w:rsidR="00C94C40" w:rsidRPr="00C94C40">
        <w:rPr>
          <w:rFonts w:cstheme="minorHAnsi"/>
          <w:iCs/>
        </w:rPr>
        <w:t xml:space="preserve"> </w:t>
      </w:r>
      <w:r w:rsidR="00C94C40">
        <w:rPr>
          <w:rFonts w:cstheme="minorHAnsi"/>
          <w:iCs/>
        </w:rPr>
        <w:t>Müüja peab olema valmis tooteid pakendama üksuste kaupa pakkekastidesse vastavalt esitatud tellimusele.</w:t>
      </w:r>
    </w:p>
    <w:p w14:paraId="3E44687D" w14:textId="77777777" w:rsidR="00C032E4" w:rsidRDefault="00C032E4" w:rsidP="00061B17">
      <w:pPr>
        <w:pStyle w:val="ListParagraph"/>
        <w:jc w:val="both"/>
      </w:pPr>
    </w:p>
    <w:p w14:paraId="616947F8" w14:textId="77777777" w:rsidR="00C032E4" w:rsidRDefault="00C032E4" w:rsidP="00061B17">
      <w:pPr>
        <w:pStyle w:val="ListParagraph"/>
        <w:jc w:val="both"/>
      </w:pPr>
      <w:r>
        <w:t>Ühes pakkekastis on ühesuguse kaubakoodiga tooted.</w:t>
      </w:r>
    </w:p>
    <w:p w14:paraId="1EFAD6A7" w14:textId="77777777" w:rsidR="00C032E4" w:rsidRDefault="00C032E4" w:rsidP="00061B17">
      <w:pPr>
        <w:pStyle w:val="ListParagraph"/>
        <w:jc w:val="both"/>
      </w:pPr>
      <w:r>
        <w:t>Ühes pakkekastis on 25 toodet.</w:t>
      </w:r>
    </w:p>
    <w:p w14:paraId="18098B2E" w14:textId="77777777" w:rsidR="00C032E4" w:rsidRDefault="00C032E4" w:rsidP="00061B17">
      <w:pPr>
        <w:pStyle w:val="ListParagraph"/>
        <w:jc w:val="both"/>
      </w:pPr>
      <w:r>
        <w:t>Kõikides kastides on toodete peale asetatud papp, mis hoiab ära kasti avamisel toodangusse sisse lõikamist.</w:t>
      </w:r>
    </w:p>
    <w:p w14:paraId="412D1444" w14:textId="77777777" w:rsidR="00C032E4" w:rsidRDefault="00C032E4" w:rsidP="00061B17">
      <w:pPr>
        <w:pStyle w:val="ListParagraph"/>
        <w:jc w:val="both"/>
      </w:pPr>
      <w:r>
        <w:t>Pakkekastid on viiekihilisest papist, millest kaks vahekihti on lainelisest papist.</w:t>
      </w:r>
    </w:p>
    <w:p w14:paraId="796F4326" w14:textId="77777777" w:rsidR="00C032E4" w:rsidRDefault="00C032E4" w:rsidP="00061B17">
      <w:pPr>
        <w:pStyle w:val="ListParagraph"/>
        <w:jc w:val="both"/>
      </w:pPr>
      <w:r>
        <w:t>Pakkekastil ei ole muljumise jälgi ega mittevajalikku märgistust (nt transpordi etikett) ja muud eksitavat informatsiooni.</w:t>
      </w:r>
    </w:p>
    <w:p w14:paraId="3C700FD3" w14:textId="77777777" w:rsidR="00C032E4" w:rsidRDefault="00C032E4" w:rsidP="00061B17">
      <w:pPr>
        <w:pStyle w:val="ListParagraph"/>
        <w:jc w:val="both"/>
      </w:pPr>
      <w:r>
        <w:t>Pakkekasti markeering on vähemalt A4 suurusega sildil trükitähtedega ja paksus (bold) kirjas. Minimaalne tähe kõrgus on 0,8 cm.</w:t>
      </w:r>
    </w:p>
    <w:p w14:paraId="321BF7C8" w14:textId="77777777" w:rsidR="00C032E4" w:rsidRDefault="00C032E4" w:rsidP="00061B17">
      <w:pPr>
        <w:pStyle w:val="ListParagraph"/>
        <w:jc w:val="both"/>
      </w:pPr>
      <w:r>
        <w:t>Pakkekastile on kinnitatud ma</w:t>
      </w:r>
      <w:r w:rsidR="00061B17">
        <w:t>rkeeringuga silt otsale ja küljele</w:t>
      </w:r>
      <w:r>
        <w:t>.</w:t>
      </w:r>
    </w:p>
    <w:p w14:paraId="75FD7D3C" w14:textId="77777777" w:rsidR="00C032E4" w:rsidRDefault="00C032E4" w:rsidP="00061B17">
      <w:pPr>
        <w:pStyle w:val="ListParagraph"/>
        <w:jc w:val="both"/>
      </w:pPr>
      <w:r>
        <w:t>Markeeringu andmed sildil on alljärgnevas järjestuses:</w:t>
      </w:r>
    </w:p>
    <w:p w14:paraId="18BA4EE0" w14:textId="77777777" w:rsidR="00C032E4" w:rsidRDefault="00C032E4" w:rsidP="00C032E4">
      <w:pPr>
        <w:pStyle w:val="ListParagraph"/>
      </w:pPr>
    </w:p>
    <w:p w14:paraId="3E70A664" w14:textId="77777777" w:rsidR="00C032E4" w:rsidRDefault="00C032E4" w:rsidP="00C032E4">
      <w:pPr>
        <w:pStyle w:val="ListParagraph"/>
      </w:pPr>
      <w:r>
        <w:t>-</w:t>
      </w:r>
      <w:r>
        <w:tab/>
        <w:t xml:space="preserve">NSN-kood; </w:t>
      </w:r>
    </w:p>
    <w:p w14:paraId="02AC1AF4" w14:textId="77777777" w:rsidR="00C032E4" w:rsidRDefault="00C032E4" w:rsidP="00C032E4">
      <w:pPr>
        <w:pStyle w:val="ListParagraph"/>
      </w:pPr>
      <w:r>
        <w:t>-</w:t>
      </w:r>
      <w:r>
        <w:tab/>
        <w:t>NSN-kood GS1-128 vöötkoodi formaadis (AI 7001);</w:t>
      </w:r>
    </w:p>
    <w:p w14:paraId="1F92C734" w14:textId="77777777" w:rsidR="00C032E4" w:rsidRDefault="00061B17" w:rsidP="00C032E4">
      <w:pPr>
        <w:pStyle w:val="ListParagraph"/>
      </w:pPr>
      <w:r>
        <w:t>-</w:t>
      </w:r>
      <w:r>
        <w:tab/>
        <w:t>variandi</w:t>
      </w:r>
      <w:r w:rsidR="00C032E4">
        <w:t xml:space="preserve">kood; </w:t>
      </w:r>
    </w:p>
    <w:p w14:paraId="5CF0D116" w14:textId="77777777" w:rsidR="00C032E4" w:rsidRDefault="00061B17" w:rsidP="00C032E4">
      <w:pPr>
        <w:pStyle w:val="ListParagraph"/>
      </w:pPr>
      <w:r>
        <w:t>-</w:t>
      </w:r>
      <w:r>
        <w:tab/>
        <w:t>variandi</w:t>
      </w:r>
      <w:r w:rsidR="00C032E4">
        <w:t>kood GS1-128 vöötkoodi formaadis (AI 91);</w:t>
      </w:r>
    </w:p>
    <w:p w14:paraId="1D921681" w14:textId="77777777" w:rsidR="00C032E4" w:rsidRDefault="00C032E4" w:rsidP="00C032E4">
      <w:pPr>
        <w:pStyle w:val="ListParagraph"/>
      </w:pPr>
      <w:r>
        <w:t>-</w:t>
      </w:r>
      <w:r>
        <w:tab/>
        <w:t xml:space="preserve">toote nimetus; </w:t>
      </w:r>
    </w:p>
    <w:p w14:paraId="087620B8" w14:textId="77777777" w:rsidR="00C032E4" w:rsidRDefault="00C032E4" w:rsidP="00C032E4">
      <w:pPr>
        <w:pStyle w:val="ListParagraph"/>
      </w:pPr>
      <w:r>
        <w:t>-</w:t>
      </w:r>
      <w:r>
        <w:tab/>
        <w:t>suurus;</w:t>
      </w:r>
    </w:p>
    <w:p w14:paraId="36D1DBC1" w14:textId="77777777" w:rsidR="00C032E4" w:rsidRDefault="00C032E4" w:rsidP="00C032E4">
      <w:pPr>
        <w:pStyle w:val="ListParagraph"/>
      </w:pPr>
      <w:r>
        <w:t>-</w:t>
      </w:r>
      <w:r>
        <w:tab/>
        <w:t xml:space="preserve">kogus ja ühik (tk/ EA); </w:t>
      </w:r>
    </w:p>
    <w:p w14:paraId="2BE85BB3" w14:textId="77777777" w:rsidR="00C032E4" w:rsidRDefault="00C032E4" w:rsidP="00C032E4">
      <w:pPr>
        <w:pStyle w:val="ListParagraph"/>
      </w:pPr>
      <w:r>
        <w:t>-</w:t>
      </w:r>
      <w:r>
        <w:tab/>
        <w:t>pakendamise tase (tase 3)* ja tarne aeg (kuu ja aasta);</w:t>
      </w:r>
    </w:p>
    <w:p w14:paraId="0C129AAD" w14:textId="77777777" w:rsidR="00C032E4" w:rsidRDefault="00C032E4" w:rsidP="00C032E4">
      <w:pPr>
        <w:pStyle w:val="ListParagraph"/>
      </w:pPr>
      <w:r>
        <w:t>-</w:t>
      </w:r>
      <w:r>
        <w:tab/>
        <w:t>hankelepingu</w:t>
      </w:r>
      <w:r w:rsidR="00061B17">
        <w:t>/tellimuse</w:t>
      </w:r>
      <w:r>
        <w:t xml:space="preserve"> number ja partiinumber;</w:t>
      </w:r>
    </w:p>
    <w:p w14:paraId="40C49E9D" w14:textId="77777777" w:rsidR="00C032E4" w:rsidRDefault="00C032E4" w:rsidP="00C032E4">
      <w:pPr>
        <w:pStyle w:val="ListParagraph"/>
      </w:pPr>
      <w:r>
        <w:t>-</w:t>
      </w:r>
      <w:r>
        <w:tab/>
        <w:t>hankelepingu</w:t>
      </w:r>
      <w:r w:rsidR="00061B17">
        <w:t>/tellimuse</w:t>
      </w:r>
      <w:r>
        <w:t xml:space="preserve"> number GS1-128 vöötkoodi formaadis (AI 10);</w:t>
      </w:r>
    </w:p>
    <w:p w14:paraId="5205B69D" w14:textId="77777777" w:rsidR="00C032E4" w:rsidRDefault="00C032E4" w:rsidP="00C032E4">
      <w:pPr>
        <w:pStyle w:val="ListParagraph"/>
      </w:pPr>
      <w:r>
        <w:t>-</w:t>
      </w:r>
      <w:r>
        <w:tab/>
        <w:t>müüja nimi.</w:t>
      </w:r>
    </w:p>
    <w:p w14:paraId="403B8D1C" w14:textId="77777777" w:rsidR="00C032E4" w:rsidRDefault="00C032E4" w:rsidP="00C032E4">
      <w:pPr>
        <w:pStyle w:val="ListParagraph"/>
      </w:pPr>
    </w:p>
    <w:p w14:paraId="47A1507A" w14:textId="77777777" w:rsidR="00C032E4" w:rsidRDefault="00C032E4" w:rsidP="00061B17">
      <w:pPr>
        <w:pStyle w:val="ListParagraph"/>
        <w:jc w:val="both"/>
      </w:pPr>
      <w:r>
        <w:t xml:space="preserve">Kui tellitava kauba kogus on suurem kui kolm kasti, siis on pakkekastid asetatud täpselt euroalustele (suurus 800 × 1200 mm). </w:t>
      </w:r>
    </w:p>
    <w:p w14:paraId="129921FA" w14:textId="77777777" w:rsidR="00C032E4" w:rsidRDefault="00C032E4" w:rsidP="00061B17">
      <w:pPr>
        <w:pStyle w:val="ListParagraph"/>
        <w:jc w:val="both"/>
      </w:pPr>
      <w:r>
        <w:t>Üh</w:t>
      </w:r>
      <w:r w:rsidR="00061B17">
        <w:t>el euroalusel on ühesuguse variandi</w:t>
      </w:r>
      <w:r>
        <w:t>koodiga tootekastid. Viimase tarne euroalustele on lubatud ühesuguse nimetusega, aga erinevate kaubakoodidega tootekastid.</w:t>
      </w:r>
    </w:p>
    <w:p w14:paraId="17B93C81" w14:textId="77777777" w:rsidR="00C032E4" w:rsidRDefault="00C032E4" w:rsidP="00061B17">
      <w:pPr>
        <w:pStyle w:val="ListParagraph"/>
        <w:jc w:val="both"/>
      </w:pPr>
      <w:r>
        <w:t>Kui tarnekogus ei v</w:t>
      </w:r>
      <w:r w:rsidR="00061B17">
        <w:t>õimalda täis euroalust ühe variandi</w:t>
      </w:r>
      <w:r>
        <w:t>koodiga, siis on lubatud komplekte</w:t>
      </w:r>
      <w:r w:rsidR="00061B17">
        <w:t xml:space="preserve">erida alusele kahe erineva </w:t>
      </w:r>
      <w:r>
        <w:t>koodiga tootekastid nii, et kõik ühesuguse koodiga toote</w:t>
      </w:r>
      <w:r w:rsidR="00061B17">
        <w:t xml:space="preserve">kastid on allpool ja teise </w:t>
      </w:r>
      <w:r>
        <w:t>koodiga tootekasti</w:t>
      </w:r>
      <w:r w:rsidR="00061B17">
        <w:t xml:space="preserve">d nende peal (kahe erineva </w:t>
      </w:r>
      <w:r>
        <w:t xml:space="preserve">koodiga tootekastid ei tohi olla segamini). </w:t>
      </w:r>
    </w:p>
    <w:p w14:paraId="3852DBAF" w14:textId="77777777" w:rsidR="00C032E4" w:rsidRDefault="00C032E4" w:rsidP="00061B17">
      <w:pPr>
        <w:pStyle w:val="ListParagraph"/>
        <w:jc w:val="both"/>
      </w:pPr>
      <w:r>
        <w:t>euroalused peavad olema terved (ei ole pehkinud, hallitanud ega katkiseid laudu), puhtad, ei tohi olla väljaulatuvaid naelu.</w:t>
      </w:r>
    </w:p>
    <w:p w14:paraId="5DC2929A" w14:textId="77777777" w:rsidR="00C032E4" w:rsidRDefault="00C032E4" w:rsidP="00061B17">
      <w:pPr>
        <w:pStyle w:val="ListParagraph"/>
        <w:jc w:val="both"/>
      </w:pPr>
      <w:r>
        <w:t>euroalused peavad vastu pidama kauba pikaajalisele hoiustamisele.</w:t>
      </w:r>
    </w:p>
    <w:p w14:paraId="0C7F0979" w14:textId="77777777" w:rsidR="00C032E4" w:rsidRDefault="00C032E4" w:rsidP="00C032E4">
      <w:pPr>
        <w:pStyle w:val="ListParagraph"/>
      </w:pPr>
      <w:r>
        <w:t>euroalustele asetatud pakkekastide maksimaalne kõrgus on 120,0 cm.</w:t>
      </w:r>
    </w:p>
    <w:p w14:paraId="009B0D2D" w14:textId="77777777" w:rsidR="00C032E4" w:rsidRDefault="00C032E4" w:rsidP="00C032E4">
      <w:pPr>
        <w:pStyle w:val="ListParagraph"/>
      </w:pPr>
    </w:p>
    <w:p w14:paraId="57551CE3" w14:textId="77777777" w:rsidR="00C032E4" w:rsidRDefault="00C032E4" w:rsidP="00C032E4">
      <w:pPr>
        <w:pStyle w:val="ListParagraph"/>
      </w:pPr>
      <w:r>
        <w:t>Transpordipakendiks on pakendikile, millega on euroalustel olevad pakkekastid ümbritsetud. Pakendikile hoiab tootekaste kindlalt euroalusel ning kaitseb välismõjude eest.</w:t>
      </w:r>
    </w:p>
    <w:p w14:paraId="77420A60" w14:textId="77777777" w:rsidR="00C032E4" w:rsidRDefault="00C032E4" w:rsidP="00C032E4">
      <w:pPr>
        <w:pStyle w:val="ListParagraph"/>
      </w:pPr>
      <w:r>
        <w:t xml:space="preserve">Transpordipakendi markeering on vähemalt A4 suurusega sildil trükitähtedega ja paksus (bold) kirjas. Minimaalne tähe kõrgus on 0,8 cm.  </w:t>
      </w:r>
    </w:p>
    <w:p w14:paraId="3B950F58" w14:textId="77777777" w:rsidR="00C032E4" w:rsidRDefault="00C032E4" w:rsidP="00C032E4">
      <w:pPr>
        <w:pStyle w:val="ListParagraph"/>
      </w:pPr>
      <w:r>
        <w:t>Transpordipakendile on kinnitatud markeeringuga silt kõikidele külgedele (ühel pakendil neli silti). Kui euroalusel on erineva kaubakoodiga tootekastid, siis on ka transpordipakendil kõikide erinevate kaubakoodidega markeeringu sildid.</w:t>
      </w:r>
    </w:p>
    <w:p w14:paraId="607A7038" w14:textId="77777777" w:rsidR="00C032E4" w:rsidRDefault="00C032E4" w:rsidP="00C032E4">
      <w:pPr>
        <w:pStyle w:val="ListParagraph"/>
      </w:pPr>
      <w:r>
        <w:t>Markeeringu andmed sildil on alljärgnevas järjestuses:</w:t>
      </w:r>
    </w:p>
    <w:p w14:paraId="542FF899" w14:textId="77777777" w:rsidR="00C032E4" w:rsidRDefault="00C032E4" w:rsidP="00C032E4">
      <w:pPr>
        <w:pStyle w:val="ListParagraph"/>
      </w:pPr>
    </w:p>
    <w:p w14:paraId="4F60E0C5" w14:textId="77777777" w:rsidR="00C032E4" w:rsidRDefault="00C032E4" w:rsidP="00C032E4">
      <w:pPr>
        <w:pStyle w:val="ListParagraph"/>
      </w:pPr>
      <w:r>
        <w:t>-</w:t>
      </w:r>
      <w:r>
        <w:tab/>
        <w:t xml:space="preserve">NSN-kood; </w:t>
      </w:r>
    </w:p>
    <w:p w14:paraId="529BC194" w14:textId="77777777" w:rsidR="00C032E4" w:rsidRDefault="00C032E4" w:rsidP="00C032E4">
      <w:pPr>
        <w:pStyle w:val="ListParagraph"/>
      </w:pPr>
      <w:r>
        <w:lastRenderedPageBreak/>
        <w:t>-</w:t>
      </w:r>
      <w:r>
        <w:tab/>
        <w:t>NSN-kood GS1-128 vöötkoodi formaadis (AI 7001);</w:t>
      </w:r>
    </w:p>
    <w:p w14:paraId="3C5E26B4" w14:textId="77777777" w:rsidR="00C032E4" w:rsidRDefault="00C032E4" w:rsidP="00C032E4">
      <w:pPr>
        <w:pStyle w:val="ListParagraph"/>
      </w:pPr>
      <w:r>
        <w:t>-</w:t>
      </w:r>
      <w:r>
        <w:tab/>
        <w:t xml:space="preserve">kaubakood;  </w:t>
      </w:r>
    </w:p>
    <w:p w14:paraId="02FF9C5D" w14:textId="77777777" w:rsidR="00C032E4" w:rsidRDefault="00C032E4" w:rsidP="00C032E4">
      <w:pPr>
        <w:pStyle w:val="ListParagraph"/>
      </w:pPr>
      <w:r>
        <w:t>-</w:t>
      </w:r>
      <w:r>
        <w:tab/>
        <w:t>kaubakood GS1-128 vöötkoodi formaadis (AI 91);</w:t>
      </w:r>
    </w:p>
    <w:p w14:paraId="231E4E84" w14:textId="77777777" w:rsidR="00C032E4" w:rsidRDefault="00C032E4" w:rsidP="00C032E4">
      <w:pPr>
        <w:pStyle w:val="ListParagraph"/>
      </w:pPr>
      <w:r>
        <w:t>-</w:t>
      </w:r>
      <w:r>
        <w:tab/>
        <w:t>toote nimetus;</w:t>
      </w:r>
    </w:p>
    <w:p w14:paraId="5CB6D04E" w14:textId="77777777" w:rsidR="00C032E4" w:rsidRDefault="00C032E4" w:rsidP="00C032E4">
      <w:pPr>
        <w:pStyle w:val="ListParagraph"/>
      </w:pPr>
      <w:r>
        <w:t>-</w:t>
      </w:r>
      <w:r>
        <w:tab/>
        <w:t xml:space="preserve">suurus; </w:t>
      </w:r>
    </w:p>
    <w:p w14:paraId="6C623393" w14:textId="77777777" w:rsidR="00C032E4" w:rsidRDefault="00C032E4" w:rsidP="00C032E4">
      <w:pPr>
        <w:pStyle w:val="ListParagraph"/>
      </w:pPr>
      <w:r>
        <w:t>-</w:t>
      </w:r>
      <w:r>
        <w:tab/>
        <w:t xml:space="preserve">kogus ja ühik (tk/EA); </w:t>
      </w:r>
    </w:p>
    <w:p w14:paraId="0E61762E" w14:textId="77777777" w:rsidR="00C032E4" w:rsidRDefault="00C032E4" w:rsidP="00C032E4">
      <w:pPr>
        <w:pStyle w:val="ListParagraph"/>
      </w:pPr>
      <w:r>
        <w:t>-</w:t>
      </w:r>
      <w:r>
        <w:tab/>
        <w:t>pakendamise tase (tase 3/3)* ja tarne aeg (kuu ja aasta);</w:t>
      </w:r>
    </w:p>
    <w:p w14:paraId="4BFF8C37" w14:textId="77777777" w:rsidR="00C032E4" w:rsidRDefault="00C032E4" w:rsidP="00C032E4">
      <w:pPr>
        <w:pStyle w:val="ListParagraph"/>
      </w:pPr>
      <w:r>
        <w:t>-</w:t>
      </w:r>
      <w:r>
        <w:tab/>
        <w:t>hankelepingu number ja partiinumber;</w:t>
      </w:r>
    </w:p>
    <w:p w14:paraId="25B2FB17" w14:textId="77777777" w:rsidR="00C032E4" w:rsidRDefault="00C032E4" w:rsidP="00C032E4">
      <w:pPr>
        <w:pStyle w:val="ListParagraph"/>
      </w:pPr>
      <w:r>
        <w:t>-</w:t>
      </w:r>
      <w:r>
        <w:tab/>
        <w:t>hankelepingu number GS1-128 vöötkoodi formaadis (AI 10);</w:t>
      </w:r>
    </w:p>
    <w:p w14:paraId="5E57646A" w14:textId="77777777" w:rsidR="00C032E4" w:rsidRDefault="00C032E4" w:rsidP="00C032E4">
      <w:pPr>
        <w:pStyle w:val="ListParagraph"/>
      </w:pPr>
      <w:r>
        <w:t>-</w:t>
      </w:r>
      <w:r>
        <w:tab/>
        <w:t>müüja nimi;</w:t>
      </w:r>
    </w:p>
    <w:p w14:paraId="59B42626" w14:textId="77777777" w:rsidR="00C032E4" w:rsidRDefault="00C032E4" w:rsidP="00C032E4">
      <w:pPr>
        <w:pStyle w:val="ListParagraph"/>
      </w:pPr>
      <w:r>
        <w:t>-</w:t>
      </w:r>
      <w:r>
        <w:tab/>
        <w:t>müüja aadress;</w:t>
      </w:r>
    </w:p>
    <w:p w14:paraId="6F28725E" w14:textId="77777777" w:rsidR="00C032E4" w:rsidRDefault="00C032E4" w:rsidP="00C032E4">
      <w:pPr>
        <w:pStyle w:val="ListParagraph"/>
      </w:pPr>
      <w:r>
        <w:t>-</w:t>
      </w:r>
      <w:r>
        <w:tab/>
        <w:t>tarne aadress.</w:t>
      </w:r>
    </w:p>
    <w:p w14:paraId="7DB875EF" w14:textId="77777777" w:rsidR="00C032E4" w:rsidRDefault="00C032E4" w:rsidP="00C032E4">
      <w:pPr>
        <w:pStyle w:val="ListParagraph"/>
      </w:pPr>
    </w:p>
    <w:p w14:paraId="28914058" w14:textId="77777777" w:rsidR="00C032E4" w:rsidRDefault="00C032E4" w:rsidP="00C032E4">
      <w:pPr>
        <w:pStyle w:val="ListParagraph"/>
      </w:pPr>
      <w:r>
        <w:t>*Tase 3 või tase 3/3 – pakendi säilitustingimused on kestvusega 5 aastat ventileeritavates püsiehitistes. Vedu toimub kinnises transpordis maismaal, õhus või vees. Pakend talub käitlemist mehaaniliste abivahenditega.</w:t>
      </w:r>
    </w:p>
    <w:p w14:paraId="675E46CF" w14:textId="77777777" w:rsidR="00C032E4" w:rsidRDefault="00C032E4" w:rsidP="00C032E4">
      <w:pPr>
        <w:pStyle w:val="ListParagraph"/>
      </w:pPr>
    </w:p>
    <w:p w14:paraId="26CF610C" w14:textId="77777777" w:rsidR="00C032E4" w:rsidRDefault="00C032E4" w:rsidP="00C032E4">
      <w:pPr>
        <w:pStyle w:val="ListParagraph"/>
      </w:pPr>
      <w:r>
        <w:t>-</w:t>
      </w:r>
      <w:r>
        <w:tab/>
        <w:t>hankelepingu number ja partiinumber;</w:t>
      </w:r>
    </w:p>
    <w:p w14:paraId="7CCAC7C5" w14:textId="77777777" w:rsidR="00C032E4" w:rsidRDefault="00C032E4" w:rsidP="00C032E4">
      <w:pPr>
        <w:pStyle w:val="ListParagraph"/>
      </w:pPr>
      <w:r>
        <w:t>-</w:t>
      </w:r>
      <w:r>
        <w:tab/>
        <w:t>hankelepingu number GS1-128 vöötkoodi formaadis (AI 10);</w:t>
      </w:r>
    </w:p>
    <w:p w14:paraId="0A5EDC89" w14:textId="77777777" w:rsidR="00C032E4" w:rsidRDefault="00C032E4" w:rsidP="00C032E4">
      <w:pPr>
        <w:pStyle w:val="ListParagraph"/>
      </w:pPr>
      <w:r>
        <w:t>-</w:t>
      </w:r>
      <w:r>
        <w:tab/>
        <w:t>müüja nimi;</w:t>
      </w:r>
    </w:p>
    <w:p w14:paraId="743F32EE" w14:textId="77777777" w:rsidR="00C032E4" w:rsidRDefault="00C032E4" w:rsidP="00C032E4">
      <w:pPr>
        <w:pStyle w:val="ListParagraph"/>
      </w:pPr>
      <w:r>
        <w:t>-</w:t>
      </w:r>
      <w:r>
        <w:tab/>
        <w:t>müüja aadress;</w:t>
      </w:r>
    </w:p>
    <w:p w14:paraId="3791D962" w14:textId="77777777" w:rsidR="00C032E4" w:rsidRDefault="00C032E4" w:rsidP="00C032E4">
      <w:pPr>
        <w:pStyle w:val="ListParagraph"/>
      </w:pPr>
      <w:r>
        <w:t>-</w:t>
      </w:r>
      <w:r>
        <w:tab/>
        <w:t>tarne aadress.</w:t>
      </w:r>
    </w:p>
    <w:p w14:paraId="714D676E" w14:textId="77777777" w:rsidR="00C032E4" w:rsidRDefault="00C032E4" w:rsidP="00C032E4">
      <w:pPr>
        <w:pStyle w:val="ListParagraph"/>
      </w:pPr>
    </w:p>
    <w:p w14:paraId="4185D734" w14:textId="77777777" w:rsidR="00C032E4" w:rsidRDefault="00C032E4" w:rsidP="00C032E4">
      <w:pPr>
        <w:pStyle w:val="ListParagraph"/>
      </w:pPr>
      <w:r>
        <w:t>*Tase 3 või tase 3/3 – pakendi säilitustingimused on kestvusega 5 aastat ventileeritavates püsiehitistes. Vedu toimub kinnises transpordis maismaal, õhus või vees. Pakend talub käitlemist mehaaniliste abivahenditega.</w:t>
      </w:r>
    </w:p>
    <w:p w14:paraId="469DC3A0" w14:textId="77777777" w:rsidR="00C032E4" w:rsidRDefault="00C032E4" w:rsidP="00C032E4">
      <w:pPr>
        <w:pStyle w:val="ListParagraph"/>
      </w:pPr>
    </w:p>
    <w:p w14:paraId="2D66B3E2" w14:textId="77777777" w:rsidR="00C032E4" w:rsidRDefault="00061B17" w:rsidP="00061B17">
      <w:pPr>
        <w:pStyle w:val="ListParagraph"/>
      </w:pPr>
      <w:r>
        <w:t>5.</w:t>
      </w:r>
      <w:r>
        <w:tab/>
      </w:r>
      <w:r w:rsidR="007A665D">
        <w:t xml:space="preserve">KVALITEEDI </w:t>
      </w:r>
      <w:r>
        <w:t>KONTROLL</w:t>
      </w:r>
    </w:p>
    <w:p w14:paraId="580FA803" w14:textId="77777777" w:rsidR="00C032E4" w:rsidRDefault="00C032E4" w:rsidP="00C032E4">
      <w:pPr>
        <w:pStyle w:val="ListParagraph"/>
      </w:pPr>
    </w:p>
    <w:p w14:paraId="6BAD5CCB" w14:textId="77777777" w:rsidR="007A665D" w:rsidRDefault="007A665D" w:rsidP="007A665D">
      <w:pPr>
        <w:pStyle w:val="ListParagraph"/>
      </w:pPr>
      <w:r>
        <w:t xml:space="preserve">Kvaliteedilisel vastuvõtmisel koostatakse akt. </w:t>
      </w:r>
      <w:r>
        <w:tab/>
      </w:r>
    </w:p>
    <w:p w14:paraId="74CDD28D" w14:textId="77777777" w:rsidR="007A665D" w:rsidRDefault="007A665D" w:rsidP="007A665D">
      <w:pPr>
        <w:pStyle w:val="ListParagraph"/>
      </w:pPr>
      <w:r>
        <w:t>Toodete mõõtmine ja vastavuse kontrollimine toimub iga saabuva partii juhuslikult valitud pakenditest vähemalt 5% ulatuses. Kui kontrollitud tooted ei vasta hankes esitatud tootenäidisele, on õigus Toetuse väejuhatusel kogu partii saata tagasi lepingupartnerile kauba kontrollimiseks ja parandamiseks.</w:t>
      </w:r>
    </w:p>
    <w:p w14:paraId="17136057" w14:textId="77777777" w:rsidR="007A665D" w:rsidRDefault="007A665D" w:rsidP="007A665D">
      <w:pPr>
        <w:pStyle w:val="ListParagraph"/>
      </w:pPr>
    </w:p>
    <w:p w14:paraId="5D63997C" w14:textId="77777777" w:rsidR="007A665D" w:rsidRDefault="007A665D" w:rsidP="007A665D">
      <w:pPr>
        <w:pStyle w:val="ListParagraph"/>
      </w:pPr>
      <w:r>
        <w:t>Kvaliteedilisel vastuvõtmisel läbiviidavate protseduuride loetelu:</w:t>
      </w:r>
    </w:p>
    <w:p w14:paraId="51040682" w14:textId="77777777" w:rsidR="007A665D" w:rsidRDefault="007A665D" w:rsidP="007A665D">
      <w:pPr>
        <w:pStyle w:val="ListParagraph"/>
      </w:pPr>
    </w:p>
    <w:p w14:paraId="227A889D" w14:textId="77777777" w:rsidR="007A665D" w:rsidRDefault="007A665D" w:rsidP="007A665D">
      <w:pPr>
        <w:pStyle w:val="ListParagraph"/>
      </w:pPr>
      <w:r>
        <w:t>-</w:t>
      </w:r>
      <w:r>
        <w:tab/>
        <w:t>pakendite ja pakendamise vastavus hankedokumentatsioonile;</w:t>
      </w:r>
    </w:p>
    <w:p w14:paraId="51D7AB47" w14:textId="77777777" w:rsidR="007A665D" w:rsidRDefault="007A665D" w:rsidP="007A665D">
      <w:pPr>
        <w:pStyle w:val="ListParagraph"/>
      </w:pPr>
      <w:r>
        <w:t>-</w:t>
      </w:r>
      <w:r>
        <w:tab/>
        <w:t xml:space="preserve">toodete vastavus hankedokumentatsioonile; </w:t>
      </w:r>
    </w:p>
    <w:p w14:paraId="59D29E21" w14:textId="77777777" w:rsidR="00C032E4" w:rsidRDefault="007A665D" w:rsidP="007A665D">
      <w:pPr>
        <w:pStyle w:val="ListParagraph"/>
      </w:pPr>
      <w:r>
        <w:t>-</w:t>
      </w:r>
      <w:r>
        <w:tab/>
        <w:t>toodete vastavus tehnilisele kirjeldusele ja pakkumuses esitatud tootenäidisele.</w:t>
      </w:r>
    </w:p>
    <w:p w14:paraId="000941F1" w14:textId="77777777" w:rsidR="007A665D" w:rsidRDefault="007A665D" w:rsidP="007A665D">
      <w:pPr>
        <w:pStyle w:val="ListParagraph"/>
      </w:pPr>
    </w:p>
    <w:p w14:paraId="7E3367E1" w14:textId="77777777" w:rsidR="00C032E4" w:rsidRDefault="00C032E4" w:rsidP="00C032E4">
      <w:pPr>
        <w:pStyle w:val="ListParagraph"/>
      </w:pPr>
    </w:p>
    <w:p w14:paraId="15251ED3" w14:textId="77777777" w:rsidR="00C032E4" w:rsidRDefault="00C032E4" w:rsidP="00C032E4">
      <w:pPr>
        <w:pStyle w:val="ListParagraph"/>
      </w:pPr>
      <w:r>
        <w:t>6.</w:t>
      </w:r>
      <w:r>
        <w:tab/>
        <w:t>LISAD</w:t>
      </w:r>
    </w:p>
    <w:p w14:paraId="4C1C3E1F" w14:textId="77777777" w:rsidR="00C032E4" w:rsidRDefault="00C032E4" w:rsidP="00C032E4">
      <w:pPr>
        <w:pStyle w:val="ListParagraph"/>
      </w:pPr>
    </w:p>
    <w:p w14:paraId="72881150" w14:textId="77777777" w:rsidR="00C032E4" w:rsidRDefault="00C032E4" w:rsidP="00C032E4">
      <w:pPr>
        <w:pStyle w:val="ListParagraph"/>
      </w:pPr>
      <w:r>
        <w:t>6.1.</w:t>
      </w:r>
      <w:r>
        <w:tab/>
        <w:t xml:space="preserve"> Toote joonised:</w:t>
      </w:r>
    </w:p>
    <w:p w14:paraId="690D1309" w14:textId="77777777" w:rsidR="00C032E4" w:rsidRDefault="00C032E4" w:rsidP="00C032E4">
      <w:pPr>
        <w:pStyle w:val="ListParagraph"/>
      </w:pPr>
    </w:p>
    <w:p w14:paraId="35A02C8B" w14:textId="77777777" w:rsidR="00C032E4" w:rsidRDefault="00C032E4" w:rsidP="00C032E4">
      <w:pPr>
        <w:pStyle w:val="ListParagraph"/>
      </w:pPr>
      <w:r>
        <w:t>Eestvaade:</w:t>
      </w:r>
    </w:p>
    <w:p w14:paraId="5CD99607" w14:textId="77777777" w:rsidR="00C032E4" w:rsidRDefault="00C032E4" w:rsidP="00C032E4">
      <w:pPr>
        <w:pStyle w:val="ListParagraph"/>
      </w:pPr>
    </w:p>
    <w:p w14:paraId="225D79F7" w14:textId="77777777" w:rsidR="00C032E4" w:rsidRDefault="00C032E4" w:rsidP="00C032E4">
      <w:pPr>
        <w:pStyle w:val="ListParagraph"/>
      </w:pPr>
      <w:r w:rsidRPr="00DA45B4">
        <w:rPr>
          <w:rFonts w:cstheme="minorHAnsi"/>
          <w:noProof/>
          <w:lang w:eastAsia="et-EE"/>
        </w:rPr>
        <w:lastRenderedPageBreak/>
        <w:drawing>
          <wp:inline distT="0" distB="0" distL="0" distR="0" wp14:anchorId="364487A6" wp14:editId="7E14AE70">
            <wp:extent cx="1559460" cy="1190625"/>
            <wp:effectExtent l="0" t="0" r="3175" b="0"/>
            <wp:docPr id="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0383" cy="1198964"/>
                    </a:xfrm>
                    <a:prstGeom prst="rect">
                      <a:avLst/>
                    </a:prstGeom>
                    <a:noFill/>
                    <a:ln>
                      <a:noFill/>
                    </a:ln>
                  </pic:spPr>
                </pic:pic>
              </a:graphicData>
            </a:graphic>
          </wp:inline>
        </w:drawing>
      </w:r>
    </w:p>
    <w:p w14:paraId="771CB006" w14:textId="77777777" w:rsidR="00C032E4" w:rsidRDefault="00C032E4" w:rsidP="00C032E4">
      <w:pPr>
        <w:pStyle w:val="ListParagraph"/>
      </w:pPr>
    </w:p>
    <w:p w14:paraId="2299D855" w14:textId="77777777" w:rsidR="00C032E4" w:rsidRDefault="00C032E4" w:rsidP="00C032E4">
      <w:pPr>
        <w:pStyle w:val="ListParagraph"/>
      </w:pPr>
    </w:p>
    <w:p w14:paraId="030CFBFD" w14:textId="77777777" w:rsidR="00C032E4" w:rsidRDefault="00C032E4" w:rsidP="00C032E4">
      <w:pPr>
        <w:pStyle w:val="ListParagraph"/>
      </w:pPr>
      <w:r w:rsidRPr="00C032E4">
        <w:t>Külgvaade ilma kõrvade osata:</w:t>
      </w:r>
    </w:p>
    <w:p w14:paraId="242BDAD9" w14:textId="77777777" w:rsidR="00C032E4" w:rsidRDefault="00C032E4" w:rsidP="00C032E4">
      <w:pPr>
        <w:pStyle w:val="ListParagraph"/>
      </w:pPr>
    </w:p>
    <w:p w14:paraId="41778AAE" w14:textId="77777777" w:rsidR="00C032E4" w:rsidRDefault="00C032E4" w:rsidP="00C032E4">
      <w:pPr>
        <w:pStyle w:val="ListParagraph"/>
      </w:pPr>
      <w:r>
        <w:rPr>
          <w:noProof/>
          <w:lang w:eastAsia="et-EE"/>
        </w:rPr>
        <w:drawing>
          <wp:inline distT="0" distB="0" distL="0" distR="0" wp14:anchorId="7A74F54C" wp14:editId="73F35320">
            <wp:extent cx="2009775" cy="1015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6506" cy="1029374"/>
                    </a:xfrm>
                    <a:prstGeom prst="rect">
                      <a:avLst/>
                    </a:prstGeom>
                    <a:noFill/>
                  </pic:spPr>
                </pic:pic>
              </a:graphicData>
            </a:graphic>
          </wp:inline>
        </w:drawing>
      </w:r>
    </w:p>
    <w:p w14:paraId="22100982" w14:textId="77777777" w:rsidR="00C032E4" w:rsidRDefault="00C032E4" w:rsidP="00C032E4">
      <w:pPr>
        <w:pStyle w:val="ListParagraph"/>
      </w:pPr>
    </w:p>
    <w:p w14:paraId="5C4980F7" w14:textId="77777777" w:rsidR="00C032E4" w:rsidRDefault="00C032E4" w:rsidP="00C032E4">
      <w:pPr>
        <w:pStyle w:val="ListParagraph"/>
      </w:pPr>
      <w:r w:rsidRPr="00C032E4">
        <w:t>Külgaade kõrvade</w:t>
      </w:r>
      <w:r>
        <w:t xml:space="preserve"> </w:t>
      </w:r>
      <w:r w:rsidRPr="00C032E4">
        <w:t>osaga:</w:t>
      </w:r>
    </w:p>
    <w:p w14:paraId="0AE55B2D" w14:textId="77777777" w:rsidR="008A6B8D" w:rsidRDefault="008A6B8D" w:rsidP="00C032E4">
      <w:pPr>
        <w:pStyle w:val="ListParagraph"/>
      </w:pPr>
    </w:p>
    <w:p w14:paraId="1BE77FDA" w14:textId="77777777" w:rsidR="00C032E4" w:rsidRDefault="00C032E4" w:rsidP="00C032E4">
      <w:pPr>
        <w:pStyle w:val="ListParagraph"/>
      </w:pPr>
      <w:r>
        <w:rPr>
          <w:noProof/>
          <w:lang w:eastAsia="et-EE"/>
        </w:rPr>
        <w:drawing>
          <wp:inline distT="0" distB="0" distL="0" distR="0" wp14:anchorId="58C8EFD4" wp14:editId="2FA585F0">
            <wp:extent cx="1712002" cy="1038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8354" cy="1054206"/>
                    </a:xfrm>
                    <a:prstGeom prst="rect">
                      <a:avLst/>
                    </a:prstGeom>
                    <a:noFill/>
                  </pic:spPr>
                </pic:pic>
              </a:graphicData>
            </a:graphic>
          </wp:inline>
        </w:drawing>
      </w:r>
    </w:p>
    <w:p w14:paraId="1B209202" w14:textId="77777777" w:rsidR="00C032E4" w:rsidRDefault="00C032E4" w:rsidP="00C032E4">
      <w:pPr>
        <w:pStyle w:val="ListParagraph"/>
      </w:pPr>
    </w:p>
    <w:p w14:paraId="4B8E18F6" w14:textId="77777777" w:rsidR="00C032E4" w:rsidRDefault="00C032E4" w:rsidP="00C032E4">
      <w:pPr>
        <w:pStyle w:val="ListParagraph"/>
      </w:pPr>
      <w:r w:rsidRPr="00C032E4">
        <w:t>6.2.</w:t>
      </w:r>
      <w:r w:rsidRPr="00C032E4">
        <w:tab/>
        <w:t>Tehnoloogiliste sõlmede asukohad ja läbilõikejoonised:</w:t>
      </w:r>
    </w:p>
    <w:p w14:paraId="25608516" w14:textId="77777777" w:rsidR="00C032E4" w:rsidRDefault="00C032E4" w:rsidP="00C032E4">
      <w:pPr>
        <w:pStyle w:val="ListParagraph"/>
      </w:pPr>
    </w:p>
    <w:p w14:paraId="02DE702B" w14:textId="77777777" w:rsidR="00C032E4" w:rsidRDefault="00C032E4" w:rsidP="00C032E4">
      <w:pPr>
        <w:pStyle w:val="ListParagraph"/>
      </w:pPr>
      <w:r>
        <w:rPr>
          <w:noProof/>
          <w:lang w:eastAsia="et-EE"/>
        </w:rPr>
        <w:drawing>
          <wp:inline distT="0" distB="0" distL="0" distR="0" wp14:anchorId="7C100D91" wp14:editId="0EE57B86">
            <wp:extent cx="1990725" cy="1242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1155" cy="1261306"/>
                    </a:xfrm>
                    <a:prstGeom prst="rect">
                      <a:avLst/>
                    </a:prstGeom>
                    <a:noFill/>
                  </pic:spPr>
                </pic:pic>
              </a:graphicData>
            </a:graphic>
          </wp:inline>
        </w:drawing>
      </w:r>
    </w:p>
    <w:p w14:paraId="2A81C690" w14:textId="77777777" w:rsidR="00C032E4" w:rsidRDefault="00C032E4" w:rsidP="00C032E4">
      <w:pPr>
        <w:pStyle w:val="ListParagraph"/>
      </w:pPr>
    </w:p>
    <w:p w14:paraId="4FAB4AD8" w14:textId="77777777" w:rsidR="00C032E4" w:rsidRDefault="00C032E4" w:rsidP="00C032E4">
      <w:pPr>
        <w:pStyle w:val="ListParagraph"/>
      </w:pPr>
    </w:p>
    <w:p w14:paraId="79632AB7" w14:textId="77777777" w:rsidR="00C032E4" w:rsidRDefault="00C032E4" w:rsidP="00C032E4">
      <w:pPr>
        <w:pStyle w:val="ListParagraph"/>
      </w:pPr>
      <w:r w:rsidRPr="00DA45B4">
        <w:rPr>
          <w:rFonts w:cstheme="minorHAnsi"/>
          <w:b/>
          <w:noProof/>
          <w:lang w:eastAsia="et-EE"/>
        </w:rPr>
        <w:drawing>
          <wp:inline distT="0" distB="0" distL="0" distR="0" wp14:anchorId="14C0834C" wp14:editId="3879B641">
            <wp:extent cx="466725" cy="1828800"/>
            <wp:effectExtent l="0" t="0" r="0" b="0"/>
            <wp:docPr id="10"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1828800"/>
                    </a:xfrm>
                    <a:prstGeom prst="rect">
                      <a:avLst/>
                    </a:prstGeom>
                    <a:noFill/>
                    <a:ln>
                      <a:noFill/>
                    </a:ln>
                  </pic:spPr>
                </pic:pic>
              </a:graphicData>
            </a:graphic>
          </wp:inline>
        </w:drawing>
      </w:r>
      <w:r>
        <w:t xml:space="preserve">   </w:t>
      </w:r>
      <w:r w:rsidR="0019179F">
        <w:t xml:space="preserve">     </w:t>
      </w:r>
      <w:r w:rsidR="0019179F">
        <w:tab/>
        <w:t xml:space="preserve"> </w:t>
      </w:r>
      <w:r>
        <w:t xml:space="preserve"> </w:t>
      </w:r>
      <w:r w:rsidRPr="00DA45B4">
        <w:rPr>
          <w:rFonts w:cstheme="minorHAnsi"/>
          <w:b/>
          <w:noProof/>
          <w:lang w:eastAsia="et-EE"/>
        </w:rPr>
        <w:drawing>
          <wp:inline distT="0" distB="0" distL="0" distR="0" wp14:anchorId="3051A592" wp14:editId="4749903B">
            <wp:extent cx="381000" cy="1781175"/>
            <wp:effectExtent l="0" t="0" r="0" b="0"/>
            <wp:docPr id="11"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1781175"/>
                    </a:xfrm>
                    <a:prstGeom prst="rect">
                      <a:avLst/>
                    </a:prstGeom>
                    <a:noFill/>
                    <a:ln>
                      <a:noFill/>
                    </a:ln>
                  </pic:spPr>
                </pic:pic>
              </a:graphicData>
            </a:graphic>
          </wp:inline>
        </w:drawing>
      </w:r>
      <w:r>
        <w:t xml:space="preserve">  </w:t>
      </w:r>
      <w:r w:rsidR="0019179F">
        <w:t xml:space="preserve">      </w:t>
      </w:r>
      <w:r w:rsidR="0019179F">
        <w:tab/>
        <w:t xml:space="preserve"> </w:t>
      </w:r>
      <w:r w:rsidRPr="00DA45B4">
        <w:rPr>
          <w:rFonts w:cstheme="minorHAnsi"/>
          <w:b/>
          <w:noProof/>
          <w:lang w:eastAsia="et-EE"/>
        </w:rPr>
        <w:drawing>
          <wp:inline distT="0" distB="0" distL="0" distR="0" wp14:anchorId="6C2EF821" wp14:editId="60F1FBE1">
            <wp:extent cx="495300" cy="1800225"/>
            <wp:effectExtent l="0" t="0" r="0" b="0"/>
            <wp:docPr id="12"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1800225"/>
                    </a:xfrm>
                    <a:prstGeom prst="rect">
                      <a:avLst/>
                    </a:prstGeom>
                    <a:noFill/>
                    <a:ln>
                      <a:noFill/>
                    </a:ln>
                  </pic:spPr>
                </pic:pic>
              </a:graphicData>
            </a:graphic>
          </wp:inline>
        </w:drawing>
      </w:r>
      <w:r w:rsidR="0019179F">
        <w:t xml:space="preserve">  </w:t>
      </w:r>
      <w:r w:rsidR="0019179F">
        <w:rPr>
          <w:rFonts w:cstheme="minorHAnsi"/>
          <w:b/>
          <w:noProof/>
          <w:lang w:eastAsia="et-EE"/>
        </w:rPr>
        <w:t xml:space="preserve">     </w:t>
      </w:r>
      <w:r w:rsidRPr="00DA45B4">
        <w:rPr>
          <w:rFonts w:cstheme="minorHAnsi"/>
          <w:b/>
          <w:noProof/>
          <w:lang w:eastAsia="et-EE"/>
        </w:rPr>
        <w:drawing>
          <wp:inline distT="0" distB="0" distL="0" distR="0" wp14:anchorId="3E58C42D" wp14:editId="6E6AB93A">
            <wp:extent cx="457200" cy="1114425"/>
            <wp:effectExtent l="0" t="0" r="0" b="0"/>
            <wp:docPr id="13"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1114425"/>
                    </a:xfrm>
                    <a:prstGeom prst="rect">
                      <a:avLst/>
                    </a:prstGeom>
                    <a:noFill/>
                    <a:ln>
                      <a:noFill/>
                    </a:ln>
                  </pic:spPr>
                </pic:pic>
              </a:graphicData>
            </a:graphic>
          </wp:inline>
        </w:drawing>
      </w:r>
      <w:r w:rsidR="0019179F">
        <w:rPr>
          <w:rFonts w:cstheme="minorHAnsi"/>
          <w:b/>
          <w:noProof/>
          <w:lang w:eastAsia="et-EE"/>
        </w:rPr>
        <w:t xml:space="preserve">  </w:t>
      </w:r>
    </w:p>
    <w:p w14:paraId="6C6A9E0C" w14:textId="77777777" w:rsidR="0019179F" w:rsidRDefault="0019179F" w:rsidP="0019179F">
      <w:pPr>
        <w:pStyle w:val="ListParagraph"/>
        <w:tabs>
          <w:tab w:val="left" w:pos="3828"/>
          <w:tab w:val="left" w:pos="4820"/>
        </w:tabs>
        <w:rPr>
          <w:rFonts w:cstheme="minorHAnsi"/>
          <w:b/>
          <w:noProof/>
          <w:lang w:eastAsia="et-EE"/>
        </w:rPr>
      </w:pPr>
      <w:r w:rsidRPr="00DA45B4">
        <w:rPr>
          <w:rFonts w:cstheme="minorHAnsi"/>
          <w:b/>
          <w:noProof/>
          <w:lang w:eastAsia="et-EE"/>
        </w:rPr>
        <w:t xml:space="preserve">    A-A                     </w:t>
      </w:r>
      <w:r>
        <w:rPr>
          <w:rFonts w:cstheme="minorHAnsi"/>
          <w:b/>
          <w:noProof/>
          <w:lang w:eastAsia="et-EE"/>
        </w:rPr>
        <w:t xml:space="preserve"> </w:t>
      </w:r>
      <w:r w:rsidRPr="00DA45B4">
        <w:rPr>
          <w:rFonts w:cstheme="minorHAnsi"/>
          <w:b/>
          <w:noProof/>
          <w:lang w:eastAsia="et-EE"/>
        </w:rPr>
        <w:t xml:space="preserve">B-B    </w:t>
      </w:r>
      <w:r>
        <w:rPr>
          <w:rFonts w:cstheme="minorHAnsi"/>
          <w:b/>
          <w:noProof/>
          <w:lang w:eastAsia="et-EE"/>
        </w:rPr>
        <w:t xml:space="preserve"> </w:t>
      </w:r>
      <w:r>
        <w:rPr>
          <w:rFonts w:cstheme="minorHAnsi"/>
          <w:b/>
          <w:noProof/>
          <w:lang w:eastAsia="et-EE"/>
        </w:rPr>
        <w:tab/>
      </w:r>
      <w:r w:rsidRPr="00DA45B4">
        <w:rPr>
          <w:rFonts w:cstheme="minorHAnsi"/>
          <w:b/>
          <w:noProof/>
          <w:lang w:eastAsia="et-EE"/>
        </w:rPr>
        <w:t xml:space="preserve">C-C      </w:t>
      </w:r>
      <w:r>
        <w:rPr>
          <w:rFonts w:cstheme="minorHAnsi"/>
          <w:b/>
          <w:noProof/>
          <w:lang w:eastAsia="et-EE"/>
        </w:rPr>
        <w:tab/>
      </w:r>
      <w:r w:rsidRPr="00DA45B4">
        <w:rPr>
          <w:rFonts w:cstheme="minorHAnsi"/>
          <w:b/>
          <w:noProof/>
          <w:lang w:eastAsia="et-EE"/>
        </w:rPr>
        <w:t xml:space="preserve">  D-D               </w:t>
      </w:r>
    </w:p>
    <w:p w14:paraId="513E1E08" w14:textId="77777777" w:rsidR="0019179F" w:rsidRDefault="0019179F" w:rsidP="0019179F">
      <w:pPr>
        <w:pStyle w:val="ListParagraph"/>
        <w:tabs>
          <w:tab w:val="left" w:pos="3828"/>
          <w:tab w:val="left" w:pos="4820"/>
        </w:tabs>
        <w:rPr>
          <w:rFonts w:cstheme="minorHAnsi"/>
          <w:b/>
          <w:noProof/>
          <w:lang w:eastAsia="et-EE"/>
        </w:rPr>
      </w:pPr>
    </w:p>
    <w:p w14:paraId="5712F37E" w14:textId="77777777" w:rsidR="0019179F" w:rsidRDefault="0019179F" w:rsidP="0019179F">
      <w:pPr>
        <w:pStyle w:val="ListParagraph"/>
        <w:tabs>
          <w:tab w:val="left" w:pos="3828"/>
          <w:tab w:val="left" w:pos="4820"/>
        </w:tabs>
        <w:rPr>
          <w:rFonts w:cstheme="minorHAnsi"/>
          <w:b/>
          <w:noProof/>
          <w:lang w:eastAsia="et-EE"/>
        </w:rPr>
      </w:pPr>
    </w:p>
    <w:p w14:paraId="0D1419C5" w14:textId="77777777" w:rsidR="00C032E4" w:rsidRDefault="0019179F" w:rsidP="0019179F">
      <w:pPr>
        <w:tabs>
          <w:tab w:val="left" w:pos="1985"/>
          <w:tab w:val="left" w:pos="2694"/>
          <w:tab w:val="left" w:pos="3686"/>
          <w:tab w:val="left" w:pos="3828"/>
          <w:tab w:val="left" w:pos="4820"/>
        </w:tabs>
        <w:ind w:firstLine="426"/>
        <w:rPr>
          <w:rFonts w:cstheme="minorHAnsi"/>
          <w:b/>
          <w:noProof/>
          <w:lang w:eastAsia="et-EE"/>
        </w:rPr>
      </w:pPr>
      <w:r w:rsidRPr="0019179F">
        <w:rPr>
          <w:rFonts w:cstheme="minorHAnsi"/>
          <w:b/>
          <w:noProof/>
          <w:lang w:eastAsia="et-EE"/>
        </w:rPr>
        <w:t xml:space="preserve">   </w:t>
      </w:r>
      <w:r w:rsidRPr="00DA45B4">
        <w:rPr>
          <w:noProof/>
          <w:lang w:eastAsia="et-EE"/>
        </w:rPr>
        <w:drawing>
          <wp:inline distT="0" distB="0" distL="0" distR="0" wp14:anchorId="0F50DFD5" wp14:editId="2CA7A84D">
            <wp:extent cx="609600" cy="1914525"/>
            <wp:effectExtent l="0" t="0" r="0" b="0"/>
            <wp:docPr id="14"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1914525"/>
                    </a:xfrm>
                    <a:prstGeom prst="rect">
                      <a:avLst/>
                    </a:prstGeom>
                    <a:noFill/>
                    <a:ln>
                      <a:noFill/>
                    </a:ln>
                  </pic:spPr>
                </pic:pic>
              </a:graphicData>
            </a:graphic>
          </wp:inline>
        </w:drawing>
      </w:r>
      <w:r w:rsidRPr="0019179F">
        <w:rPr>
          <w:rFonts w:cstheme="minorHAnsi"/>
          <w:b/>
          <w:noProof/>
          <w:lang w:eastAsia="et-EE"/>
        </w:rPr>
        <w:t xml:space="preserve">      </w:t>
      </w:r>
      <w:r>
        <w:rPr>
          <w:rFonts w:cstheme="minorHAnsi"/>
          <w:b/>
          <w:noProof/>
          <w:lang w:eastAsia="et-EE"/>
        </w:rPr>
        <w:tab/>
      </w:r>
      <w:r w:rsidRPr="0019179F">
        <w:rPr>
          <w:rFonts w:cstheme="minorHAnsi"/>
          <w:b/>
          <w:noProof/>
          <w:lang w:eastAsia="et-EE"/>
        </w:rPr>
        <w:t xml:space="preserve"> </w:t>
      </w:r>
      <w:r w:rsidRPr="00DA45B4">
        <w:rPr>
          <w:rFonts w:cstheme="minorHAnsi"/>
          <w:b/>
          <w:noProof/>
          <w:lang w:eastAsia="et-EE"/>
        </w:rPr>
        <w:drawing>
          <wp:inline distT="0" distB="0" distL="0" distR="0" wp14:anchorId="36F0551C" wp14:editId="3CFDE36C">
            <wp:extent cx="561975" cy="1581150"/>
            <wp:effectExtent l="0" t="0" r="0" b="0"/>
            <wp:docPr id="15"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1581150"/>
                    </a:xfrm>
                    <a:prstGeom prst="rect">
                      <a:avLst/>
                    </a:prstGeom>
                    <a:noFill/>
                    <a:ln>
                      <a:noFill/>
                    </a:ln>
                  </pic:spPr>
                </pic:pic>
              </a:graphicData>
            </a:graphic>
          </wp:inline>
        </w:drawing>
      </w:r>
      <w:r>
        <w:rPr>
          <w:rFonts w:cstheme="minorHAnsi"/>
          <w:b/>
          <w:noProof/>
          <w:lang w:eastAsia="et-EE"/>
        </w:rPr>
        <w:tab/>
      </w:r>
      <w:r w:rsidRPr="00DA45B4">
        <w:rPr>
          <w:rFonts w:cstheme="minorHAnsi"/>
          <w:b/>
          <w:noProof/>
          <w:lang w:eastAsia="et-EE"/>
        </w:rPr>
        <w:drawing>
          <wp:inline distT="0" distB="0" distL="0" distR="0" wp14:anchorId="730A6E50" wp14:editId="7236E939">
            <wp:extent cx="228600" cy="1371600"/>
            <wp:effectExtent l="0" t="0" r="0" b="0"/>
            <wp:docPr id="16"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371600"/>
                    </a:xfrm>
                    <a:prstGeom prst="rect">
                      <a:avLst/>
                    </a:prstGeom>
                    <a:noFill/>
                    <a:ln>
                      <a:noFill/>
                    </a:ln>
                  </pic:spPr>
                </pic:pic>
              </a:graphicData>
            </a:graphic>
          </wp:inline>
        </w:drawing>
      </w:r>
    </w:p>
    <w:p w14:paraId="572D4ABF" w14:textId="77777777" w:rsidR="0019179F" w:rsidRDefault="0019179F" w:rsidP="005D1F19">
      <w:pPr>
        <w:tabs>
          <w:tab w:val="left" w:pos="2268"/>
          <w:tab w:val="left" w:pos="2694"/>
          <w:tab w:val="left" w:pos="3686"/>
          <w:tab w:val="left" w:pos="3828"/>
          <w:tab w:val="left" w:pos="4820"/>
        </w:tabs>
        <w:ind w:firstLine="426"/>
        <w:rPr>
          <w:rFonts w:cstheme="minorHAnsi"/>
          <w:b/>
          <w:noProof/>
          <w:lang w:eastAsia="et-EE"/>
        </w:rPr>
      </w:pPr>
      <w:r>
        <w:rPr>
          <w:rFonts w:cstheme="minorHAnsi"/>
          <w:b/>
          <w:noProof/>
          <w:lang w:eastAsia="et-EE"/>
        </w:rPr>
        <w:t>E-E</w:t>
      </w:r>
      <w:r>
        <w:rPr>
          <w:rFonts w:cstheme="minorHAnsi"/>
          <w:b/>
          <w:noProof/>
          <w:lang w:eastAsia="et-EE"/>
        </w:rPr>
        <w:tab/>
      </w:r>
      <w:r w:rsidR="005D1F19">
        <w:rPr>
          <w:rFonts w:cstheme="minorHAnsi"/>
          <w:b/>
          <w:noProof/>
          <w:lang w:eastAsia="et-EE"/>
        </w:rPr>
        <w:t>F-F</w:t>
      </w:r>
      <w:r w:rsidR="005D1F19">
        <w:rPr>
          <w:rFonts w:cstheme="minorHAnsi"/>
          <w:b/>
          <w:noProof/>
          <w:lang w:eastAsia="et-EE"/>
        </w:rPr>
        <w:tab/>
      </w:r>
      <w:r w:rsidR="005D1F19">
        <w:rPr>
          <w:rFonts w:cstheme="minorHAnsi"/>
          <w:b/>
          <w:noProof/>
          <w:lang w:eastAsia="et-EE"/>
        </w:rPr>
        <w:tab/>
        <w:t>G-G</w:t>
      </w:r>
    </w:p>
    <w:p w14:paraId="7F99535B" w14:textId="77777777" w:rsidR="005D1F19" w:rsidRDefault="005D1F19" w:rsidP="005D1F19">
      <w:pPr>
        <w:tabs>
          <w:tab w:val="left" w:pos="2268"/>
          <w:tab w:val="left" w:pos="2694"/>
          <w:tab w:val="left" w:pos="3686"/>
          <w:tab w:val="left" w:pos="3828"/>
          <w:tab w:val="left" w:pos="4820"/>
        </w:tabs>
        <w:ind w:firstLine="426"/>
        <w:rPr>
          <w:rFonts w:cstheme="minorHAnsi"/>
          <w:b/>
          <w:noProof/>
          <w:lang w:eastAsia="et-EE"/>
        </w:rPr>
      </w:pPr>
    </w:p>
    <w:p w14:paraId="381FBF52" w14:textId="77777777" w:rsidR="005D1F19" w:rsidRDefault="005D1F19" w:rsidP="005D1F19">
      <w:pPr>
        <w:tabs>
          <w:tab w:val="left" w:pos="2268"/>
          <w:tab w:val="left" w:pos="2694"/>
          <w:tab w:val="left" w:pos="3686"/>
          <w:tab w:val="left" w:pos="3828"/>
          <w:tab w:val="left" w:pos="4820"/>
        </w:tabs>
        <w:ind w:firstLine="426"/>
      </w:pPr>
      <w:r w:rsidRPr="005D1F19">
        <w:t>6.3.</w:t>
      </w:r>
      <w:r w:rsidRPr="005D1F19">
        <w:tab/>
        <w:t>Tähistus tootel:</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50"/>
        <w:gridCol w:w="511"/>
        <w:gridCol w:w="511"/>
        <w:gridCol w:w="511"/>
        <w:gridCol w:w="512"/>
        <w:gridCol w:w="512"/>
        <w:gridCol w:w="512"/>
        <w:gridCol w:w="512"/>
        <w:gridCol w:w="512"/>
        <w:gridCol w:w="512"/>
        <w:gridCol w:w="512"/>
        <w:gridCol w:w="512"/>
      </w:tblGrid>
      <w:tr w:rsidR="005D1F19" w:rsidRPr="00DA45B4" w14:paraId="3451ABD3" w14:textId="77777777" w:rsidTr="009C4828">
        <w:trPr>
          <w:cantSplit/>
        </w:trPr>
        <w:tc>
          <w:tcPr>
            <w:tcW w:w="1553" w:type="dxa"/>
            <w:tcBorders>
              <w:top w:val="single" w:sz="4" w:space="0" w:color="auto"/>
              <w:left w:val="single" w:sz="4" w:space="0" w:color="auto"/>
              <w:bottom w:val="single" w:sz="4" w:space="0" w:color="auto"/>
              <w:right w:val="single" w:sz="4" w:space="0" w:color="auto"/>
            </w:tcBorders>
            <w:vAlign w:val="center"/>
          </w:tcPr>
          <w:p w14:paraId="34FB90F8"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Mõõdu nimetus</w:t>
            </w:r>
          </w:p>
          <w:p w14:paraId="31F54E50" w14:textId="77777777" w:rsidR="005D1F19" w:rsidRPr="00DA45B4" w:rsidRDefault="005D1F19" w:rsidP="009C4828">
            <w:pPr>
              <w:pStyle w:val="BodyTextIndent"/>
              <w:ind w:left="0" w:firstLine="0"/>
              <w:jc w:val="both"/>
              <w:rPr>
                <w:rFonts w:asciiTheme="minorHAnsi" w:hAnsiTheme="minorHAnsi" w:cstheme="minorHAnsi"/>
                <w:b/>
                <w:bCs/>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14:paraId="2ACA3332"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suurus</w:t>
            </w:r>
          </w:p>
        </w:tc>
        <w:tc>
          <w:tcPr>
            <w:tcW w:w="511" w:type="dxa"/>
            <w:tcBorders>
              <w:top w:val="single" w:sz="4" w:space="0" w:color="auto"/>
              <w:left w:val="single" w:sz="4" w:space="0" w:color="auto"/>
              <w:bottom w:val="single" w:sz="4" w:space="0" w:color="auto"/>
              <w:right w:val="single" w:sz="4" w:space="0" w:color="auto"/>
            </w:tcBorders>
            <w:vAlign w:val="center"/>
          </w:tcPr>
          <w:p w14:paraId="2A1AE0BA"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53</w:t>
            </w:r>
          </w:p>
        </w:tc>
        <w:tc>
          <w:tcPr>
            <w:tcW w:w="511" w:type="dxa"/>
            <w:tcBorders>
              <w:top w:val="single" w:sz="4" w:space="0" w:color="auto"/>
              <w:left w:val="single" w:sz="4" w:space="0" w:color="auto"/>
              <w:bottom w:val="single" w:sz="4" w:space="0" w:color="auto"/>
              <w:right w:val="single" w:sz="4" w:space="0" w:color="auto"/>
            </w:tcBorders>
            <w:vAlign w:val="center"/>
          </w:tcPr>
          <w:p w14:paraId="642C180F"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54</w:t>
            </w:r>
          </w:p>
        </w:tc>
        <w:tc>
          <w:tcPr>
            <w:tcW w:w="511" w:type="dxa"/>
            <w:tcBorders>
              <w:top w:val="single" w:sz="4" w:space="0" w:color="auto"/>
              <w:left w:val="single" w:sz="4" w:space="0" w:color="auto"/>
              <w:bottom w:val="single" w:sz="4" w:space="0" w:color="auto"/>
              <w:right w:val="single" w:sz="4" w:space="0" w:color="auto"/>
            </w:tcBorders>
            <w:vAlign w:val="center"/>
          </w:tcPr>
          <w:p w14:paraId="0AA3E526"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55</w:t>
            </w:r>
          </w:p>
        </w:tc>
        <w:tc>
          <w:tcPr>
            <w:tcW w:w="512" w:type="dxa"/>
            <w:tcBorders>
              <w:top w:val="single" w:sz="4" w:space="0" w:color="auto"/>
              <w:left w:val="single" w:sz="4" w:space="0" w:color="auto"/>
              <w:bottom w:val="single" w:sz="4" w:space="0" w:color="auto"/>
              <w:right w:val="single" w:sz="4" w:space="0" w:color="auto"/>
            </w:tcBorders>
            <w:vAlign w:val="center"/>
          </w:tcPr>
          <w:p w14:paraId="4C9A9348"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56</w:t>
            </w:r>
          </w:p>
        </w:tc>
        <w:tc>
          <w:tcPr>
            <w:tcW w:w="512" w:type="dxa"/>
            <w:tcBorders>
              <w:top w:val="single" w:sz="4" w:space="0" w:color="auto"/>
              <w:left w:val="single" w:sz="4" w:space="0" w:color="auto"/>
              <w:bottom w:val="single" w:sz="4" w:space="0" w:color="auto"/>
              <w:right w:val="single" w:sz="4" w:space="0" w:color="auto"/>
            </w:tcBorders>
            <w:vAlign w:val="center"/>
          </w:tcPr>
          <w:p w14:paraId="61111F00"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57</w:t>
            </w:r>
          </w:p>
        </w:tc>
        <w:tc>
          <w:tcPr>
            <w:tcW w:w="512" w:type="dxa"/>
            <w:tcBorders>
              <w:top w:val="single" w:sz="4" w:space="0" w:color="auto"/>
              <w:left w:val="single" w:sz="4" w:space="0" w:color="auto"/>
              <w:bottom w:val="single" w:sz="4" w:space="0" w:color="auto"/>
              <w:right w:val="single" w:sz="4" w:space="0" w:color="auto"/>
            </w:tcBorders>
            <w:vAlign w:val="center"/>
          </w:tcPr>
          <w:p w14:paraId="68DF27C7"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58</w:t>
            </w:r>
          </w:p>
        </w:tc>
        <w:tc>
          <w:tcPr>
            <w:tcW w:w="512" w:type="dxa"/>
            <w:tcBorders>
              <w:top w:val="single" w:sz="4" w:space="0" w:color="auto"/>
              <w:left w:val="single" w:sz="4" w:space="0" w:color="auto"/>
              <w:bottom w:val="single" w:sz="4" w:space="0" w:color="auto"/>
              <w:right w:val="single" w:sz="4" w:space="0" w:color="auto"/>
            </w:tcBorders>
            <w:vAlign w:val="center"/>
          </w:tcPr>
          <w:p w14:paraId="5405E2E5"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59</w:t>
            </w:r>
          </w:p>
        </w:tc>
        <w:tc>
          <w:tcPr>
            <w:tcW w:w="512" w:type="dxa"/>
            <w:tcBorders>
              <w:top w:val="single" w:sz="4" w:space="0" w:color="auto"/>
              <w:left w:val="single" w:sz="4" w:space="0" w:color="auto"/>
              <w:bottom w:val="single" w:sz="4" w:space="0" w:color="auto"/>
              <w:right w:val="single" w:sz="4" w:space="0" w:color="auto"/>
            </w:tcBorders>
            <w:vAlign w:val="center"/>
          </w:tcPr>
          <w:p w14:paraId="00DE50B9"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60</w:t>
            </w:r>
          </w:p>
        </w:tc>
        <w:tc>
          <w:tcPr>
            <w:tcW w:w="512" w:type="dxa"/>
            <w:tcBorders>
              <w:top w:val="single" w:sz="4" w:space="0" w:color="auto"/>
              <w:left w:val="single" w:sz="4" w:space="0" w:color="auto"/>
              <w:bottom w:val="single" w:sz="4" w:space="0" w:color="auto"/>
              <w:right w:val="single" w:sz="4" w:space="0" w:color="auto"/>
            </w:tcBorders>
            <w:vAlign w:val="center"/>
          </w:tcPr>
          <w:p w14:paraId="6BCB8167"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61</w:t>
            </w:r>
          </w:p>
        </w:tc>
        <w:tc>
          <w:tcPr>
            <w:tcW w:w="512" w:type="dxa"/>
            <w:tcBorders>
              <w:top w:val="single" w:sz="4" w:space="0" w:color="auto"/>
              <w:left w:val="single" w:sz="4" w:space="0" w:color="auto"/>
              <w:bottom w:val="single" w:sz="4" w:space="0" w:color="auto"/>
              <w:right w:val="single" w:sz="4" w:space="0" w:color="auto"/>
            </w:tcBorders>
            <w:vAlign w:val="center"/>
          </w:tcPr>
          <w:p w14:paraId="79302F19"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62</w:t>
            </w:r>
          </w:p>
        </w:tc>
        <w:tc>
          <w:tcPr>
            <w:tcW w:w="512" w:type="dxa"/>
            <w:tcBorders>
              <w:top w:val="single" w:sz="4" w:space="0" w:color="auto"/>
              <w:left w:val="single" w:sz="4" w:space="0" w:color="auto"/>
              <w:bottom w:val="single" w:sz="4" w:space="0" w:color="auto"/>
              <w:right w:val="single" w:sz="4" w:space="0" w:color="auto"/>
            </w:tcBorders>
            <w:vAlign w:val="center"/>
          </w:tcPr>
          <w:p w14:paraId="488BC000" w14:textId="77777777" w:rsidR="005D1F19" w:rsidRPr="00DA45B4" w:rsidRDefault="005D1F19" w:rsidP="009C4828">
            <w:pPr>
              <w:pStyle w:val="BodyTextIndent"/>
              <w:ind w:left="0" w:firstLine="0"/>
              <w:jc w:val="both"/>
              <w:rPr>
                <w:rFonts w:asciiTheme="minorHAnsi" w:hAnsiTheme="minorHAnsi" w:cstheme="minorHAnsi"/>
                <w:b/>
                <w:bCs/>
                <w:sz w:val="22"/>
                <w:szCs w:val="22"/>
              </w:rPr>
            </w:pPr>
            <w:r w:rsidRPr="00DA45B4">
              <w:rPr>
                <w:rFonts w:asciiTheme="minorHAnsi" w:hAnsiTheme="minorHAnsi" w:cstheme="minorHAnsi"/>
                <w:b/>
                <w:bCs/>
                <w:sz w:val="22"/>
                <w:szCs w:val="22"/>
              </w:rPr>
              <w:t>63</w:t>
            </w:r>
          </w:p>
        </w:tc>
      </w:tr>
      <w:tr w:rsidR="005D1F19" w:rsidRPr="00DA45B4" w14:paraId="6392DB1D" w14:textId="77777777" w:rsidTr="009C4828">
        <w:tc>
          <w:tcPr>
            <w:tcW w:w="1553" w:type="dxa"/>
            <w:tcBorders>
              <w:top w:val="single" w:sz="4" w:space="0" w:color="auto"/>
              <w:left w:val="single" w:sz="4" w:space="0" w:color="auto"/>
              <w:bottom w:val="single" w:sz="4" w:space="0" w:color="auto"/>
              <w:right w:val="single" w:sz="4" w:space="0" w:color="auto"/>
            </w:tcBorders>
            <w:vAlign w:val="center"/>
          </w:tcPr>
          <w:p w14:paraId="3C397FBD"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pea ümbermõõt, cm</w:t>
            </w:r>
          </w:p>
        </w:tc>
        <w:tc>
          <w:tcPr>
            <w:tcW w:w="950" w:type="dxa"/>
            <w:tcBorders>
              <w:top w:val="single" w:sz="4" w:space="0" w:color="auto"/>
              <w:left w:val="single" w:sz="4" w:space="0" w:color="auto"/>
              <w:bottom w:val="single" w:sz="4" w:space="0" w:color="auto"/>
              <w:right w:val="single" w:sz="4" w:space="0" w:color="auto"/>
            </w:tcBorders>
            <w:vAlign w:val="center"/>
          </w:tcPr>
          <w:p w14:paraId="04E65772" w14:textId="77777777" w:rsidR="005D1F19" w:rsidRPr="00DA45B4" w:rsidRDefault="005D1F19" w:rsidP="009C4828">
            <w:pPr>
              <w:pStyle w:val="BodyTextIndent"/>
              <w:ind w:left="0" w:firstLine="0"/>
              <w:jc w:val="both"/>
              <w:rPr>
                <w:rFonts w:asciiTheme="minorHAnsi" w:hAnsiTheme="minorHAnsi" w:cstheme="minorHAnsi"/>
                <w:sz w:val="22"/>
                <w:szCs w:val="22"/>
              </w:rPr>
            </w:pPr>
          </w:p>
        </w:tc>
        <w:tc>
          <w:tcPr>
            <w:tcW w:w="511" w:type="dxa"/>
            <w:tcBorders>
              <w:top w:val="single" w:sz="4" w:space="0" w:color="auto"/>
              <w:left w:val="single" w:sz="4" w:space="0" w:color="auto"/>
              <w:bottom w:val="single" w:sz="4" w:space="0" w:color="auto"/>
              <w:right w:val="single" w:sz="4" w:space="0" w:color="auto"/>
            </w:tcBorders>
            <w:vAlign w:val="center"/>
          </w:tcPr>
          <w:p w14:paraId="13B56577"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53</w:t>
            </w:r>
          </w:p>
        </w:tc>
        <w:tc>
          <w:tcPr>
            <w:tcW w:w="511" w:type="dxa"/>
            <w:tcBorders>
              <w:top w:val="single" w:sz="4" w:space="0" w:color="auto"/>
              <w:left w:val="single" w:sz="4" w:space="0" w:color="auto"/>
              <w:bottom w:val="single" w:sz="4" w:space="0" w:color="auto"/>
              <w:right w:val="single" w:sz="4" w:space="0" w:color="auto"/>
            </w:tcBorders>
            <w:vAlign w:val="center"/>
          </w:tcPr>
          <w:p w14:paraId="310250C9"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54</w:t>
            </w:r>
          </w:p>
        </w:tc>
        <w:tc>
          <w:tcPr>
            <w:tcW w:w="511" w:type="dxa"/>
            <w:tcBorders>
              <w:top w:val="single" w:sz="4" w:space="0" w:color="auto"/>
              <w:left w:val="single" w:sz="4" w:space="0" w:color="auto"/>
              <w:bottom w:val="single" w:sz="4" w:space="0" w:color="auto"/>
              <w:right w:val="single" w:sz="4" w:space="0" w:color="auto"/>
            </w:tcBorders>
            <w:vAlign w:val="center"/>
          </w:tcPr>
          <w:p w14:paraId="40E1FE98"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55</w:t>
            </w:r>
          </w:p>
        </w:tc>
        <w:tc>
          <w:tcPr>
            <w:tcW w:w="512" w:type="dxa"/>
            <w:tcBorders>
              <w:top w:val="single" w:sz="4" w:space="0" w:color="auto"/>
              <w:left w:val="single" w:sz="4" w:space="0" w:color="auto"/>
              <w:bottom w:val="single" w:sz="4" w:space="0" w:color="auto"/>
              <w:right w:val="single" w:sz="4" w:space="0" w:color="auto"/>
            </w:tcBorders>
            <w:vAlign w:val="center"/>
          </w:tcPr>
          <w:p w14:paraId="38F0E350"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56</w:t>
            </w:r>
          </w:p>
        </w:tc>
        <w:tc>
          <w:tcPr>
            <w:tcW w:w="512" w:type="dxa"/>
            <w:tcBorders>
              <w:top w:val="single" w:sz="4" w:space="0" w:color="auto"/>
              <w:left w:val="single" w:sz="4" w:space="0" w:color="auto"/>
              <w:bottom w:val="single" w:sz="4" w:space="0" w:color="auto"/>
              <w:right w:val="single" w:sz="4" w:space="0" w:color="auto"/>
            </w:tcBorders>
            <w:vAlign w:val="center"/>
          </w:tcPr>
          <w:p w14:paraId="0C4D4297"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57</w:t>
            </w:r>
          </w:p>
        </w:tc>
        <w:tc>
          <w:tcPr>
            <w:tcW w:w="512" w:type="dxa"/>
            <w:tcBorders>
              <w:top w:val="single" w:sz="4" w:space="0" w:color="auto"/>
              <w:left w:val="single" w:sz="4" w:space="0" w:color="auto"/>
              <w:bottom w:val="single" w:sz="4" w:space="0" w:color="auto"/>
              <w:right w:val="single" w:sz="4" w:space="0" w:color="auto"/>
            </w:tcBorders>
            <w:vAlign w:val="center"/>
          </w:tcPr>
          <w:p w14:paraId="0B005C1F"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58</w:t>
            </w:r>
          </w:p>
        </w:tc>
        <w:tc>
          <w:tcPr>
            <w:tcW w:w="512" w:type="dxa"/>
            <w:tcBorders>
              <w:top w:val="single" w:sz="4" w:space="0" w:color="auto"/>
              <w:left w:val="single" w:sz="4" w:space="0" w:color="auto"/>
              <w:bottom w:val="single" w:sz="4" w:space="0" w:color="auto"/>
              <w:right w:val="single" w:sz="4" w:space="0" w:color="auto"/>
            </w:tcBorders>
            <w:vAlign w:val="center"/>
          </w:tcPr>
          <w:p w14:paraId="27DACCC2"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59</w:t>
            </w:r>
          </w:p>
        </w:tc>
        <w:tc>
          <w:tcPr>
            <w:tcW w:w="512" w:type="dxa"/>
            <w:tcBorders>
              <w:top w:val="single" w:sz="4" w:space="0" w:color="auto"/>
              <w:left w:val="single" w:sz="4" w:space="0" w:color="auto"/>
              <w:bottom w:val="single" w:sz="4" w:space="0" w:color="auto"/>
              <w:right w:val="single" w:sz="4" w:space="0" w:color="auto"/>
            </w:tcBorders>
            <w:vAlign w:val="center"/>
          </w:tcPr>
          <w:p w14:paraId="0FEDEA7F"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60</w:t>
            </w:r>
          </w:p>
        </w:tc>
        <w:tc>
          <w:tcPr>
            <w:tcW w:w="512" w:type="dxa"/>
            <w:tcBorders>
              <w:top w:val="single" w:sz="4" w:space="0" w:color="auto"/>
              <w:left w:val="single" w:sz="4" w:space="0" w:color="auto"/>
              <w:bottom w:val="single" w:sz="4" w:space="0" w:color="auto"/>
              <w:right w:val="single" w:sz="4" w:space="0" w:color="auto"/>
            </w:tcBorders>
            <w:vAlign w:val="center"/>
          </w:tcPr>
          <w:p w14:paraId="3549D092"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61</w:t>
            </w:r>
          </w:p>
        </w:tc>
        <w:tc>
          <w:tcPr>
            <w:tcW w:w="512" w:type="dxa"/>
            <w:tcBorders>
              <w:top w:val="single" w:sz="4" w:space="0" w:color="auto"/>
              <w:left w:val="single" w:sz="4" w:space="0" w:color="auto"/>
              <w:bottom w:val="single" w:sz="4" w:space="0" w:color="auto"/>
              <w:right w:val="single" w:sz="4" w:space="0" w:color="auto"/>
            </w:tcBorders>
            <w:vAlign w:val="center"/>
          </w:tcPr>
          <w:p w14:paraId="6BD340FC"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62</w:t>
            </w:r>
          </w:p>
        </w:tc>
        <w:tc>
          <w:tcPr>
            <w:tcW w:w="512" w:type="dxa"/>
            <w:tcBorders>
              <w:top w:val="single" w:sz="4" w:space="0" w:color="auto"/>
              <w:left w:val="single" w:sz="4" w:space="0" w:color="auto"/>
              <w:bottom w:val="single" w:sz="4" w:space="0" w:color="auto"/>
              <w:right w:val="single" w:sz="4" w:space="0" w:color="auto"/>
            </w:tcBorders>
            <w:vAlign w:val="center"/>
          </w:tcPr>
          <w:p w14:paraId="2270FC7C" w14:textId="77777777" w:rsidR="005D1F19" w:rsidRPr="00DA45B4" w:rsidRDefault="005D1F19" w:rsidP="009C4828">
            <w:pPr>
              <w:pStyle w:val="BodyTextIndent"/>
              <w:ind w:left="0" w:firstLine="0"/>
              <w:jc w:val="both"/>
              <w:rPr>
                <w:rFonts w:asciiTheme="minorHAnsi" w:hAnsiTheme="minorHAnsi" w:cstheme="minorHAnsi"/>
                <w:sz w:val="22"/>
                <w:szCs w:val="22"/>
              </w:rPr>
            </w:pPr>
            <w:r w:rsidRPr="00DA45B4">
              <w:rPr>
                <w:rFonts w:asciiTheme="minorHAnsi" w:hAnsiTheme="minorHAnsi" w:cstheme="minorHAnsi"/>
                <w:sz w:val="22"/>
                <w:szCs w:val="22"/>
              </w:rPr>
              <w:t>63</w:t>
            </w:r>
          </w:p>
        </w:tc>
      </w:tr>
    </w:tbl>
    <w:p w14:paraId="13ECDEF9" w14:textId="77777777" w:rsidR="005D1F19" w:rsidRDefault="005D1F19" w:rsidP="005D1F19">
      <w:pPr>
        <w:tabs>
          <w:tab w:val="left" w:pos="2268"/>
          <w:tab w:val="left" w:pos="2694"/>
          <w:tab w:val="left" w:pos="3686"/>
          <w:tab w:val="left" w:pos="3828"/>
          <w:tab w:val="left" w:pos="4820"/>
        </w:tabs>
        <w:ind w:firstLine="426"/>
      </w:pPr>
    </w:p>
    <w:p w14:paraId="0132BE78" w14:textId="77777777" w:rsidR="005D1F19" w:rsidRDefault="005D1F19" w:rsidP="005D1F19">
      <w:pPr>
        <w:tabs>
          <w:tab w:val="left" w:pos="2268"/>
          <w:tab w:val="left" w:pos="2694"/>
          <w:tab w:val="left" w:pos="3686"/>
          <w:tab w:val="left" w:pos="3828"/>
          <w:tab w:val="left" w:pos="4820"/>
        </w:tabs>
        <w:ind w:firstLine="426"/>
      </w:pPr>
    </w:p>
    <w:p w14:paraId="12C1A410" w14:textId="77777777" w:rsidR="005D1F19" w:rsidRDefault="005D1F19" w:rsidP="005D1F19">
      <w:pPr>
        <w:tabs>
          <w:tab w:val="left" w:pos="2268"/>
          <w:tab w:val="left" w:pos="2694"/>
          <w:tab w:val="left" w:pos="3686"/>
          <w:tab w:val="left" w:pos="3828"/>
          <w:tab w:val="left" w:pos="4820"/>
        </w:tabs>
        <w:ind w:firstLine="426"/>
      </w:pPr>
      <w:r w:rsidRPr="005D1F19">
        <w:t>6.4.</w:t>
      </w:r>
      <w:r w:rsidRPr="005D1F19">
        <w:tab/>
        <w:t>Toote koodid:</w:t>
      </w:r>
    </w:p>
    <w:tbl>
      <w:tblPr>
        <w:tblW w:w="8109" w:type="dxa"/>
        <w:tblInd w:w="591" w:type="dxa"/>
        <w:tblCellMar>
          <w:left w:w="70" w:type="dxa"/>
          <w:right w:w="70" w:type="dxa"/>
        </w:tblCellMar>
        <w:tblLook w:val="04A0" w:firstRow="1" w:lastRow="0" w:firstColumn="1" w:lastColumn="0" w:noHBand="0" w:noVBand="1"/>
      </w:tblPr>
      <w:tblGrid>
        <w:gridCol w:w="2722"/>
        <w:gridCol w:w="1307"/>
        <w:gridCol w:w="2160"/>
        <w:gridCol w:w="1920"/>
      </w:tblGrid>
      <w:tr w:rsidR="005D1F19" w:rsidRPr="00DA45B4" w14:paraId="277C01F8" w14:textId="77777777" w:rsidTr="009C4828">
        <w:trPr>
          <w:trHeight w:val="300"/>
        </w:trPr>
        <w:tc>
          <w:tcPr>
            <w:tcW w:w="2722" w:type="dxa"/>
            <w:tcBorders>
              <w:top w:val="single" w:sz="8" w:space="0" w:color="auto"/>
              <w:left w:val="single" w:sz="8" w:space="0" w:color="auto"/>
              <w:bottom w:val="nil"/>
              <w:right w:val="single" w:sz="8" w:space="0" w:color="auto"/>
            </w:tcBorders>
            <w:shd w:val="clear" w:color="000000" w:fill="FFFFFF"/>
            <w:noWrap/>
            <w:vAlign w:val="center"/>
            <w:hideMark/>
          </w:tcPr>
          <w:p w14:paraId="29BFC292" w14:textId="77777777" w:rsidR="005D1F19" w:rsidRPr="00DA45B4" w:rsidRDefault="005D1F19" w:rsidP="009C4828">
            <w:pPr>
              <w:spacing w:after="0" w:line="240" w:lineRule="auto"/>
              <w:jc w:val="both"/>
              <w:rPr>
                <w:rFonts w:cstheme="minorHAnsi"/>
                <w:b/>
                <w:bCs/>
                <w:lang w:eastAsia="et-EE"/>
              </w:rPr>
            </w:pPr>
            <w:r w:rsidRPr="00DA45B4">
              <w:rPr>
                <w:rFonts w:cstheme="minorHAnsi"/>
                <w:b/>
                <w:bCs/>
                <w:lang w:eastAsia="et-EE"/>
              </w:rPr>
              <w:t>Kauba nimetus</w:t>
            </w:r>
          </w:p>
        </w:tc>
        <w:tc>
          <w:tcPr>
            <w:tcW w:w="1307" w:type="dxa"/>
            <w:tcBorders>
              <w:top w:val="single" w:sz="8" w:space="0" w:color="auto"/>
              <w:left w:val="nil"/>
              <w:bottom w:val="nil"/>
              <w:right w:val="single" w:sz="8" w:space="0" w:color="auto"/>
            </w:tcBorders>
            <w:shd w:val="clear" w:color="000000" w:fill="FFFFFF"/>
            <w:noWrap/>
            <w:vAlign w:val="center"/>
            <w:hideMark/>
          </w:tcPr>
          <w:p w14:paraId="3C982854" w14:textId="77777777" w:rsidR="005D1F19" w:rsidRPr="00DA45B4" w:rsidRDefault="005D1F19" w:rsidP="009C4828">
            <w:pPr>
              <w:spacing w:after="0" w:line="240" w:lineRule="auto"/>
              <w:jc w:val="both"/>
              <w:rPr>
                <w:rFonts w:cstheme="minorHAnsi"/>
                <w:b/>
                <w:bCs/>
                <w:lang w:eastAsia="et-EE"/>
              </w:rPr>
            </w:pPr>
            <w:r w:rsidRPr="00DA45B4">
              <w:rPr>
                <w:rFonts w:cstheme="minorHAnsi"/>
                <w:b/>
                <w:bCs/>
                <w:lang w:eastAsia="et-EE"/>
              </w:rPr>
              <w:t>Suurus</w:t>
            </w:r>
          </w:p>
        </w:tc>
        <w:tc>
          <w:tcPr>
            <w:tcW w:w="2160" w:type="dxa"/>
            <w:tcBorders>
              <w:top w:val="single" w:sz="8" w:space="0" w:color="auto"/>
              <w:left w:val="nil"/>
              <w:bottom w:val="nil"/>
              <w:right w:val="single" w:sz="8" w:space="0" w:color="auto"/>
            </w:tcBorders>
            <w:shd w:val="clear" w:color="000000" w:fill="FFFFFF"/>
            <w:noWrap/>
            <w:vAlign w:val="center"/>
            <w:hideMark/>
          </w:tcPr>
          <w:p w14:paraId="344FF313" w14:textId="77777777" w:rsidR="005D1F19" w:rsidRPr="00DA45B4" w:rsidRDefault="005D1F19" w:rsidP="009C4828">
            <w:pPr>
              <w:spacing w:after="0" w:line="240" w:lineRule="auto"/>
              <w:jc w:val="both"/>
              <w:rPr>
                <w:rFonts w:cstheme="minorHAnsi"/>
                <w:b/>
                <w:bCs/>
                <w:lang w:eastAsia="et-EE"/>
              </w:rPr>
            </w:pPr>
            <w:r w:rsidRPr="00DA45B4">
              <w:rPr>
                <w:rFonts w:cstheme="minorHAnsi"/>
                <w:b/>
                <w:bCs/>
                <w:lang w:eastAsia="et-EE"/>
              </w:rPr>
              <w:t>NSN-kood</w:t>
            </w:r>
          </w:p>
        </w:tc>
        <w:tc>
          <w:tcPr>
            <w:tcW w:w="1920" w:type="dxa"/>
            <w:tcBorders>
              <w:top w:val="single" w:sz="8" w:space="0" w:color="auto"/>
              <w:left w:val="nil"/>
              <w:bottom w:val="nil"/>
              <w:right w:val="single" w:sz="8" w:space="0" w:color="auto"/>
            </w:tcBorders>
            <w:shd w:val="clear" w:color="000000" w:fill="FFFFFF"/>
            <w:noWrap/>
            <w:vAlign w:val="center"/>
            <w:hideMark/>
          </w:tcPr>
          <w:p w14:paraId="7A2CE5E2" w14:textId="77777777" w:rsidR="005D1F19" w:rsidRPr="00DA45B4" w:rsidRDefault="007A665D" w:rsidP="009C4828">
            <w:pPr>
              <w:spacing w:after="0" w:line="240" w:lineRule="auto"/>
              <w:jc w:val="both"/>
              <w:rPr>
                <w:rFonts w:cstheme="minorHAnsi"/>
                <w:b/>
                <w:bCs/>
                <w:lang w:eastAsia="et-EE"/>
              </w:rPr>
            </w:pPr>
            <w:r>
              <w:rPr>
                <w:rFonts w:cstheme="minorHAnsi"/>
                <w:b/>
                <w:bCs/>
                <w:lang w:eastAsia="et-EE"/>
              </w:rPr>
              <w:t>Variandi</w:t>
            </w:r>
            <w:r w:rsidR="005D1F19" w:rsidRPr="00DA45B4">
              <w:rPr>
                <w:rFonts w:cstheme="minorHAnsi"/>
                <w:b/>
                <w:bCs/>
                <w:lang w:eastAsia="et-EE"/>
              </w:rPr>
              <w:t>kood</w:t>
            </w:r>
          </w:p>
        </w:tc>
      </w:tr>
      <w:tr w:rsidR="005D1F19" w:rsidRPr="00DA45B4" w14:paraId="6AFDBA63" w14:textId="77777777" w:rsidTr="009C4828">
        <w:trPr>
          <w:trHeight w:val="300"/>
        </w:trPr>
        <w:tc>
          <w:tcPr>
            <w:tcW w:w="2722" w:type="dxa"/>
            <w:tcBorders>
              <w:top w:val="single" w:sz="4" w:space="0" w:color="auto"/>
              <w:left w:val="single" w:sz="4" w:space="0" w:color="auto"/>
              <w:bottom w:val="single" w:sz="4" w:space="0" w:color="auto"/>
              <w:right w:val="single" w:sz="4" w:space="0" w:color="auto"/>
            </w:tcBorders>
            <w:noWrap/>
            <w:vAlign w:val="center"/>
            <w:hideMark/>
          </w:tcPr>
          <w:p w14:paraId="5B644C1A"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single" w:sz="4" w:space="0" w:color="auto"/>
              <w:left w:val="nil"/>
              <w:bottom w:val="single" w:sz="4" w:space="0" w:color="auto"/>
              <w:right w:val="single" w:sz="4" w:space="0" w:color="auto"/>
            </w:tcBorders>
            <w:noWrap/>
            <w:vAlign w:val="center"/>
            <w:hideMark/>
          </w:tcPr>
          <w:p w14:paraId="31C86673"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53</w:t>
            </w:r>
          </w:p>
        </w:tc>
        <w:tc>
          <w:tcPr>
            <w:tcW w:w="2160" w:type="dxa"/>
            <w:tcBorders>
              <w:top w:val="single" w:sz="4" w:space="0" w:color="auto"/>
              <w:left w:val="nil"/>
              <w:bottom w:val="single" w:sz="4" w:space="0" w:color="auto"/>
              <w:right w:val="single" w:sz="4" w:space="0" w:color="auto"/>
            </w:tcBorders>
            <w:noWrap/>
            <w:vAlign w:val="center"/>
          </w:tcPr>
          <w:p w14:paraId="700F1DEB" w14:textId="77777777" w:rsidR="005D1F19" w:rsidRPr="00DA45B4" w:rsidRDefault="005D1F19" w:rsidP="009C4828">
            <w:pPr>
              <w:spacing w:after="0" w:line="240" w:lineRule="auto"/>
              <w:jc w:val="both"/>
              <w:rPr>
                <w:rFonts w:cstheme="minorHAnsi"/>
                <w:lang w:eastAsia="et-EE"/>
              </w:rPr>
            </w:pPr>
            <w:r w:rsidRPr="00DA45B4">
              <w:rPr>
                <w:rFonts w:cstheme="minorHAnsi"/>
              </w:rPr>
              <w:t>8415-38-001-0198</w:t>
            </w:r>
          </w:p>
        </w:tc>
        <w:tc>
          <w:tcPr>
            <w:tcW w:w="1920" w:type="dxa"/>
            <w:tcBorders>
              <w:top w:val="single" w:sz="4" w:space="0" w:color="auto"/>
              <w:left w:val="nil"/>
              <w:bottom w:val="single" w:sz="4" w:space="0" w:color="auto"/>
              <w:right w:val="single" w:sz="4" w:space="0" w:color="auto"/>
            </w:tcBorders>
            <w:noWrap/>
            <w:vAlign w:val="center"/>
            <w:hideMark/>
          </w:tcPr>
          <w:p w14:paraId="0EFBBFE7" w14:textId="77777777" w:rsidR="005D1F19" w:rsidRPr="00DA45B4" w:rsidRDefault="005D1F19" w:rsidP="009C4828">
            <w:pPr>
              <w:spacing w:after="0" w:line="240" w:lineRule="auto"/>
              <w:jc w:val="both"/>
              <w:rPr>
                <w:rFonts w:cstheme="minorHAnsi"/>
                <w:lang w:eastAsia="et-EE"/>
              </w:rPr>
            </w:pPr>
            <w:r w:rsidRPr="00DA45B4">
              <w:rPr>
                <w:rFonts w:cstheme="minorHAnsi"/>
              </w:rPr>
              <w:t>10028626</w:t>
            </w:r>
          </w:p>
        </w:tc>
      </w:tr>
      <w:tr w:rsidR="005D1F19" w:rsidRPr="00DA45B4" w14:paraId="22E9AB6E"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22E44E05"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2B91D894"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54</w:t>
            </w:r>
          </w:p>
        </w:tc>
        <w:tc>
          <w:tcPr>
            <w:tcW w:w="2160" w:type="dxa"/>
            <w:tcBorders>
              <w:top w:val="nil"/>
              <w:left w:val="nil"/>
              <w:bottom w:val="single" w:sz="4" w:space="0" w:color="auto"/>
              <w:right w:val="single" w:sz="4" w:space="0" w:color="auto"/>
            </w:tcBorders>
            <w:noWrap/>
            <w:vAlign w:val="center"/>
          </w:tcPr>
          <w:p w14:paraId="152E798A" w14:textId="77777777" w:rsidR="005D1F19" w:rsidRPr="00DA45B4" w:rsidRDefault="005D1F19" w:rsidP="009C4828">
            <w:pPr>
              <w:spacing w:after="0" w:line="240" w:lineRule="auto"/>
              <w:jc w:val="both"/>
              <w:rPr>
                <w:rFonts w:cstheme="minorHAnsi"/>
                <w:lang w:eastAsia="et-EE"/>
              </w:rPr>
            </w:pPr>
            <w:r w:rsidRPr="00DA45B4">
              <w:rPr>
                <w:rFonts w:cstheme="minorHAnsi"/>
              </w:rPr>
              <w:t>8415-38-001-0199</w:t>
            </w:r>
          </w:p>
        </w:tc>
        <w:tc>
          <w:tcPr>
            <w:tcW w:w="1920" w:type="dxa"/>
            <w:tcBorders>
              <w:top w:val="nil"/>
              <w:left w:val="nil"/>
              <w:bottom w:val="single" w:sz="4" w:space="0" w:color="auto"/>
              <w:right w:val="single" w:sz="4" w:space="0" w:color="auto"/>
            </w:tcBorders>
            <w:noWrap/>
            <w:vAlign w:val="center"/>
            <w:hideMark/>
          </w:tcPr>
          <w:p w14:paraId="32F95975" w14:textId="77777777" w:rsidR="005D1F19" w:rsidRPr="00DA45B4" w:rsidRDefault="005D1F19" w:rsidP="009C4828">
            <w:pPr>
              <w:spacing w:after="0" w:line="240" w:lineRule="auto"/>
              <w:jc w:val="both"/>
              <w:rPr>
                <w:rFonts w:cstheme="minorHAnsi"/>
                <w:lang w:eastAsia="et-EE"/>
              </w:rPr>
            </w:pPr>
            <w:r w:rsidRPr="00DA45B4">
              <w:rPr>
                <w:rFonts w:cstheme="minorHAnsi"/>
              </w:rPr>
              <w:t>10028627</w:t>
            </w:r>
          </w:p>
        </w:tc>
      </w:tr>
      <w:tr w:rsidR="005D1F19" w:rsidRPr="00DA45B4" w14:paraId="2D389722"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79627133"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509DB45A"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55</w:t>
            </w:r>
          </w:p>
        </w:tc>
        <w:tc>
          <w:tcPr>
            <w:tcW w:w="2160" w:type="dxa"/>
            <w:tcBorders>
              <w:top w:val="nil"/>
              <w:left w:val="nil"/>
              <w:bottom w:val="single" w:sz="4" w:space="0" w:color="auto"/>
              <w:right w:val="single" w:sz="4" w:space="0" w:color="auto"/>
            </w:tcBorders>
            <w:noWrap/>
            <w:vAlign w:val="center"/>
          </w:tcPr>
          <w:p w14:paraId="4D1CC03A" w14:textId="77777777" w:rsidR="005D1F19" w:rsidRPr="00DA45B4" w:rsidRDefault="005D1F19" w:rsidP="009C4828">
            <w:pPr>
              <w:spacing w:after="0" w:line="240" w:lineRule="auto"/>
              <w:jc w:val="both"/>
              <w:rPr>
                <w:rFonts w:cstheme="minorHAnsi"/>
                <w:lang w:eastAsia="et-EE"/>
              </w:rPr>
            </w:pPr>
            <w:r w:rsidRPr="00DA45B4">
              <w:rPr>
                <w:rFonts w:cstheme="minorHAnsi"/>
              </w:rPr>
              <w:t>8415-38-001-0200</w:t>
            </w:r>
          </w:p>
        </w:tc>
        <w:tc>
          <w:tcPr>
            <w:tcW w:w="1920" w:type="dxa"/>
            <w:tcBorders>
              <w:top w:val="nil"/>
              <w:left w:val="nil"/>
              <w:bottom w:val="single" w:sz="4" w:space="0" w:color="auto"/>
              <w:right w:val="single" w:sz="4" w:space="0" w:color="auto"/>
            </w:tcBorders>
            <w:noWrap/>
            <w:vAlign w:val="center"/>
          </w:tcPr>
          <w:p w14:paraId="6307619C" w14:textId="77777777" w:rsidR="005D1F19" w:rsidRPr="00DA45B4" w:rsidRDefault="005D1F19" w:rsidP="009C4828">
            <w:pPr>
              <w:spacing w:after="0" w:line="240" w:lineRule="auto"/>
              <w:jc w:val="both"/>
              <w:rPr>
                <w:rFonts w:cstheme="minorHAnsi"/>
                <w:lang w:eastAsia="et-EE"/>
              </w:rPr>
            </w:pPr>
            <w:r w:rsidRPr="00DA45B4">
              <w:rPr>
                <w:rFonts w:cstheme="minorHAnsi"/>
              </w:rPr>
              <w:t>10028628</w:t>
            </w:r>
          </w:p>
        </w:tc>
      </w:tr>
      <w:tr w:rsidR="005D1F19" w:rsidRPr="00DA45B4" w14:paraId="774981B0"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6F0AB7AF"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0935A798"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56</w:t>
            </w:r>
          </w:p>
        </w:tc>
        <w:tc>
          <w:tcPr>
            <w:tcW w:w="2160" w:type="dxa"/>
            <w:tcBorders>
              <w:top w:val="nil"/>
              <w:left w:val="nil"/>
              <w:bottom w:val="single" w:sz="4" w:space="0" w:color="auto"/>
              <w:right w:val="single" w:sz="4" w:space="0" w:color="auto"/>
            </w:tcBorders>
            <w:noWrap/>
            <w:vAlign w:val="center"/>
          </w:tcPr>
          <w:p w14:paraId="6A6B1ECC" w14:textId="77777777" w:rsidR="005D1F19" w:rsidRPr="00DA45B4" w:rsidRDefault="005D1F19" w:rsidP="009C4828">
            <w:pPr>
              <w:spacing w:after="0" w:line="240" w:lineRule="auto"/>
              <w:jc w:val="both"/>
              <w:rPr>
                <w:rFonts w:cstheme="minorHAnsi"/>
                <w:lang w:eastAsia="et-EE"/>
              </w:rPr>
            </w:pPr>
            <w:r w:rsidRPr="00DA45B4">
              <w:rPr>
                <w:rFonts w:cstheme="minorHAnsi"/>
              </w:rPr>
              <w:t>8415-38-001-0201</w:t>
            </w:r>
          </w:p>
        </w:tc>
        <w:tc>
          <w:tcPr>
            <w:tcW w:w="1920" w:type="dxa"/>
            <w:tcBorders>
              <w:top w:val="nil"/>
              <w:left w:val="nil"/>
              <w:bottom w:val="single" w:sz="4" w:space="0" w:color="auto"/>
              <w:right w:val="single" w:sz="4" w:space="0" w:color="auto"/>
            </w:tcBorders>
            <w:noWrap/>
            <w:vAlign w:val="center"/>
          </w:tcPr>
          <w:p w14:paraId="2A897B3C" w14:textId="77777777" w:rsidR="005D1F19" w:rsidRPr="00DA45B4" w:rsidRDefault="005D1F19" w:rsidP="009C4828">
            <w:pPr>
              <w:spacing w:after="0" w:line="240" w:lineRule="auto"/>
              <w:jc w:val="both"/>
              <w:rPr>
                <w:rFonts w:cstheme="minorHAnsi"/>
                <w:lang w:eastAsia="et-EE"/>
              </w:rPr>
            </w:pPr>
            <w:r w:rsidRPr="00DA45B4">
              <w:rPr>
                <w:rFonts w:cstheme="minorHAnsi"/>
              </w:rPr>
              <w:t>10028629</w:t>
            </w:r>
          </w:p>
        </w:tc>
      </w:tr>
      <w:tr w:rsidR="005D1F19" w:rsidRPr="00DA45B4" w14:paraId="06BFCDD4"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5A01356C"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7B6B4D11"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57</w:t>
            </w:r>
          </w:p>
        </w:tc>
        <w:tc>
          <w:tcPr>
            <w:tcW w:w="2160" w:type="dxa"/>
            <w:tcBorders>
              <w:top w:val="nil"/>
              <w:left w:val="nil"/>
              <w:bottom w:val="single" w:sz="4" w:space="0" w:color="auto"/>
              <w:right w:val="single" w:sz="4" w:space="0" w:color="auto"/>
            </w:tcBorders>
            <w:noWrap/>
            <w:vAlign w:val="center"/>
          </w:tcPr>
          <w:p w14:paraId="5E788766" w14:textId="77777777" w:rsidR="005D1F19" w:rsidRPr="00DA45B4" w:rsidRDefault="005D1F19" w:rsidP="009C4828">
            <w:pPr>
              <w:spacing w:after="0" w:line="240" w:lineRule="auto"/>
              <w:jc w:val="both"/>
              <w:rPr>
                <w:rFonts w:cstheme="minorHAnsi"/>
                <w:lang w:eastAsia="et-EE"/>
              </w:rPr>
            </w:pPr>
            <w:r w:rsidRPr="00DA45B4">
              <w:rPr>
                <w:rFonts w:cstheme="minorHAnsi"/>
              </w:rPr>
              <w:t>8415-38-001-0202</w:t>
            </w:r>
          </w:p>
        </w:tc>
        <w:tc>
          <w:tcPr>
            <w:tcW w:w="1920" w:type="dxa"/>
            <w:tcBorders>
              <w:top w:val="nil"/>
              <w:left w:val="nil"/>
              <w:bottom w:val="single" w:sz="4" w:space="0" w:color="auto"/>
              <w:right w:val="single" w:sz="4" w:space="0" w:color="auto"/>
            </w:tcBorders>
            <w:noWrap/>
            <w:vAlign w:val="center"/>
          </w:tcPr>
          <w:p w14:paraId="50EF4891" w14:textId="77777777" w:rsidR="005D1F19" w:rsidRPr="00DA45B4" w:rsidRDefault="005D1F19" w:rsidP="009C4828">
            <w:pPr>
              <w:spacing w:after="0" w:line="240" w:lineRule="auto"/>
              <w:jc w:val="both"/>
              <w:rPr>
                <w:rFonts w:cstheme="minorHAnsi"/>
                <w:lang w:eastAsia="et-EE"/>
              </w:rPr>
            </w:pPr>
            <w:r w:rsidRPr="00DA45B4">
              <w:rPr>
                <w:rFonts w:cstheme="minorHAnsi"/>
              </w:rPr>
              <w:t>10028630</w:t>
            </w:r>
          </w:p>
        </w:tc>
      </w:tr>
      <w:tr w:rsidR="005D1F19" w:rsidRPr="00DA45B4" w14:paraId="654FAA77"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0747E7C1"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6C929141"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58</w:t>
            </w:r>
          </w:p>
        </w:tc>
        <w:tc>
          <w:tcPr>
            <w:tcW w:w="2160" w:type="dxa"/>
            <w:tcBorders>
              <w:top w:val="nil"/>
              <w:left w:val="nil"/>
              <w:bottom w:val="single" w:sz="4" w:space="0" w:color="auto"/>
              <w:right w:val="single" w:sz="4" w:space="0" w:color="auto"/>
            </w:tcBorders>
            <w:noWrap/>
            <w:vAlign w:val="center"/>
          </w:tcPr>
          <w:p w14:paraId="4DDB6904" w14:textId="77777777" w:rsidR="005D1F19" w:rsidRPr="00DA45B4" w:rsidRDefault="005D1F19" w:rsidP="009C4828">
            <w:pPr>
              <w:spacing w:after="0" w:line="240" w:lineRule="auto"/>
              <w:jc w:val="both"/>
              <w:rPr>
                <w:rFonts w:cstheme="minorHAnsi"/>
                <w:lang w:eastAsia="et-EE"/>
              </w:rPr>
            </w:pPr>
            <w:r w:rsidRPr="00DA45B4">
              <w:rPr>
                <w:rFonts w:cstheme="minorHAnsi"/>
              </w:rPr>
              <w:t>8415-38-001-0203</w:t>
            </w:r>
          </w:p>
        </w:tc>
        <w:tc>
          <w:tcPr>
            <w:tcW w:w="1920" w:type="dxa"/>
            <w:tcBorders>
              <w:top w:val="nil"/>
              <w:left w:val="nil"/>
              <w:bottom w:val="single" w:sz="4" w:space="0" w:color="auto"/>
              <w:right w:val="single" w:sz="4" w:space="0" w:color="auto"/>
            </w:tcBorders>
            <w:noWrap/>
            <w:vAlign w:val="center"/>
          </w:tcPr>
          <w:p w14:paraId="7558A8C6" w14:textId="77777777" w:rsidR="005D1F19" w:rsidRPr="00DA45B4" w:rsidRDefault="005D1F19" w:rsidP="009C4828">
            <w:pPr>
              <w:spacing w:after="0" w:line="240" w:lineRule="auto"/>
              <w:jc w:val="both"/>
              <w:rPr>
                <w:rFonts w:cstheme="minorHAnsi"/>
                <w:lang w:eastAsia="et-EE"/>
              </w:rPr>
            </w:pPr>
            <w:r w:rsidRPr="00DA45B4">
              <w:rPr>
                <w:rFonts w:cstheme="minorHAnsi"/>
              </w:rPr>
              <w:t>10028631</w:t>
            </w:r>
          </w:p>
        </w:tc>
      </w:tr>
      <w:tr w:rsidR="005D1F19" w:rsidRPr="00DA45B4" w14:paraId="5344A84A"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3C4B7EDB"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374E796A"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59</w:t>
            </w:r>
          </w:p>
        </w:tc>
        <w:tc>
          <w:tcPr>
            <w:tcW w:w="2160" w:type="dxa"/>
            <w:tcBorders>
              <w:top w:val="nil"/>
              <w:left w:val="nil"/>
              <w:bottom w:val="single" w:sz="4" w:space="0" w:color="auto"/>
              <w:right w:val="single" w:sz="4" w:space="0" w:color="auto"/>
            </w:tcBorders>
            <w:noWrap/>
            <w:vAlign w:val="center"/>
          </w:tcPr>
          <w:p w14:paraId="5894B9E3" w14:textId="77777777" w:rsidR="005D1F19" w:rsidRPr="00DA45B4" w:rsidRDefault="005D1F19" w:rsidP="009C4828">
            <w:pPr>
              <w:spacing w:after="0" w:line="240" w:lineRule="auto"/>
              <w:jc w:val="both"/>
              <w:rPr>
                <w:rFonts w:cstheme="minorHAnsi"/>
                <w:lang w:eastAsia="et-EE"/>
              </w:rPr>
            </w:pPr>
            <w:r w:rsidRPr="00DA45B4">
              <w:rPr>
                <w:rFonts w:cstheme="minorHAnsi"/>
              </w:rPr>
              <w:t>8415-38-001-0204</w:t>
            </w:r>
          </w:p>
        </w:tc>
        <w:tc>
          <w:tcPr>
            <w:tcW w:w="1920" w:type="dxa"/>
            <w:tcBorders>
              <w:top w:val="nil"/>
              <w:left w:val="nil"/>
              <w:bottom w:val="single" w:sz="4" w:space="0" w:color="auto"/>
              <w:right w:val="single" w:sz="4" w:space="0" w:color="auto"/>
            </w:tcBorders>
            <w:noWrap/>
            <w:vAlign w:val="center"/>
          </w:tcPr>
          <w:p w14:paraId="5CAC2642" w14:textId="77777777" w:rsidR="005D1F19" w:rsidRPr="00DA45B4" w:rsidRDefault="005D1F19" w:rsidP="009C4828">
            <w:pPr>
              <w:spacing w:after="0" w:line="240" w:lineRule="auto"/>
              <w:jc w:val="both"/>
              <w:rPr>
                <w:rFonts w:cstheme="minorHAnsi"/>
                <w:lang w:eastAsia="et-EE"/>
              </w:rPr>
            </w:pPr>
            <w:r w:rsidRPr="00DA45B4">
              <w:rPr>
                <w:rFonts w:cstheme="minorHAnsi"/>
              </w:rPr>
              <w:t>10028632</w:t>
            </w:r>
          </w:p>
        </w:tc>
      </w:tr>
      <w:tr w:rsidR="005D1F19" w:rsidRPr="00DA45B4" w14:paraId="5B583204"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0BF8F175"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6853CF6C"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60</w:t>
            </w:r>
          </w:p>
        </w:tc>
        <w:tc>
          <w:tcPr>
            <w:tcW w:w="2160" w:type="dxa"/>
            <w:tcBorders>
              <w:top w:val="nil"/>
              <w:left w:val="nil"/>
              <w:bottom w:val="single" w:sz="4" w:space="0" w:color="auto"/>
              <w:right w:val="single" w:sz="4" w:space="0" w:color="auto"/>
            </w:tcBorders>
            <w:noWrap/>
            <w:vAlign w:val="center"/>
          </w:tcPr>
          <w:p w14:paraId="72494BBB" w14:textId="77777777" w:rsidR="005D1F19" w:rsidRPr="00DA45B4" w:rsidRDefault="005D1F19" w:rsidP="009C4828">
            <w:pPr>
              <w:spacing w:after="0" w:line="240" w:lineRule="auto"/>
              <w:jc w:val="both"/>
              <w:rPr>
                <w:rFonts w:cstheme="minorHAnsi"/>
                <w:lang w:eastAsia="et-EE"/>
              </w:rPr>
            </w:pPr>
            <w:r w:rsidRPr="00DA45B4">
              <w:rPr>
                <w:rFonts w:cstheme="minorHAnsi"/>
              </w:rPr>
              <w:t>8415-38-001-0205</w:t>
            </w:r>
          </w:p>
        </w:tc>
        <w:tc>
          <w:tcPr>
            <w:tcW w:w="1920" w:type="dxa"/>
            <w:tcBorders>
              <w:top w:val="nil"/>
              <w:left w:val="nil"/>
              <w:bottom w:val="single" w:sz="4" w:space="0" w:color="auto"/>
              <w:right w:val="single" w:sz="4" w:space="0" w:color="auto"/>
            </w:tcBorders>
            <w:noWrap/>
            <w:vAlign w:val="center"/>
          </w:tcPr>
          <w:p w14:paraId="00EB3B8D" w14:textId="77777777" w:rsidR="005D1F19" w:rsidRPr="00DA45B4" w:rsidRDefault="005D1F19" w:rsidP="009C4828">
            <w:pPr>
              <w:spacing w:after="0" w:line="240" w:lineRule="auto"/>
              <w:jc w:val="both"/>
              <w:rPr>
                <w:rFonts w:cstheme="minorHAnsi"/>
                <w:lang w:eastAsia="et-EE"/>
              </w:rPr>
            </w:pPr>
            <w:r w:rsidRPr="00DA45B4">
              <w:rPr>
                <w:rFonts w:cstheme="minorHAnsi"/>
              </w:rPr>
              <w:t>10028633</w:t>
            </w:r>
          </w:p>
        </w:tc>
      </w:tr>
      <w:tr w:rsidR="005D1F19" w:rsidRPr="00DA45B4" w14:paraId="70CA56D2"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61839A38"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10C048B0"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61</w:t>
            </w:r>
          </w:p>
        </w:tc>
        <w:tc>
          <w:tcPr>
            <w:tcW w:w="2160" w:type="dxa"/>
            <w:tcBorders>
              <w:top w:val="nil"/>
              <w:left w:val="nil"/>
              <w:bottom w:val="single" w:sz="4" w:space="0" w:color="auto"/>
              <w:right w:val="single" w:sz="4" w:space="0" w:color="auto"/>
            </w:tcBorders>
            <w:noWrap/>
            <w:vAlign w:val="center"/>
          </w:tcPr>
          <w:p w14:paraId="3BB14275" w14:textId="77777777" w:rsidR="005D1F19" w:rsidRPr="00DA45B4" w:rsidRDefault="005D1F19" w:rsidP="009C4828">
            <w:pPr>
              <w:spacing w:after="0" w:line="240" w:lineRule="auto"/>
              <w:jc w:val="both"/>
              <w:rPr>
                <w:rFonts w:cstheme="minorHAnsi"/>
                <w:lang w:eastAsia="et-EE"/>
              </w:rPr>
            </w:pPr>
            <w:r w:rsidRPr="00DA45B4">
              <w:rPr>
                <w:rFonts w:cstheme="minorHAnsi"/>
              </w:rPr>
              <w:t>8415-38-001-0206</w:t>
            </w:r>
          </w:p>
        </w:tc>
        <w:tc>
          <w:tcPr>
            <w:tcW w:w="1920" w:type="dxa"/>
            <w:tcBorders>
              <w:top w:val="nil"/>
              <w:left w:val="nil"/>
              <w:bottom w:val="single" w:sz="4" w:space="0" w:color="auto"/>
              <w:right w:val="single" w:sz="4" w:space="0" w:color="auto"/>
            </w:tcBorders>
            <w:noWrap/>
            <w:vAlign w:val="center"/>
          </w:tcPr>
          <w:p w14:paraId="1A4F5707" w14:textId="77777777" w:rsidR="005D1F19" w:rsidRPr="00DA45B4" w:rsidRDefault="005D1F19" w:rsidP="009C4828">
            <w:pPr>
              <w:spacing w:after="0" w:line="240" w:lineRule="auto"/>
              <w:jc w:val="both"/>
              <w:rPr>
                <w:rFonts w:cstheme="minorHAnsi"/>
                <w:lang w:eastAsia="et-EE"/>
              </w:rPr>
            </w:pPr>
            <w:r w:rsidRPr="00DA45B4">
              <w:rPr>
                <w:rFonts w:cstheme="minorHAnsi"/>
              </w:rPr>
              <w:t>10028634</w:t>
            </w:r>
          </w:p>
        </w:tc>
      </w:tr>
      <w:tr w:rsidR="005D1F19" w:rsidRPr="00DA45B4" w14:paraId="3629E248"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1D71A7BC"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2C3C8B13"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62</w:t>
            </w:r>
          </w:p>
        </w:tc>
        <w:tc>
          <w:tcPr>
            <w:tcW w:w="2160" w:type="dxa"/>
            <w:tcBorders>
              <w:top w:val="nil"/>
              <w:left w:val="nil"/>
              <w:bottom w:val="single" w:sz="4" w:space="0" w:color="auto"/>
              <w:right w:val="single" w:sz="4" w:space="0" w:color="auto"/>
            </w:tcBorders>
            <w:noWrap/>
            <w:vAlign w:val="center"/>
          </w:tcPr>
          <w:p w14:paraId="29B01F16" w14:textId="77777777" w:rsidR="005D1F19" w:rsidRPr="00DA45B4" w:rsidRDefault="005D1F19" w:rsidP="009C4828">
            <w:pPr>
              <w:spacing w:after="0" w:line="240" w:lineRule="auto"/>
              <w:jc w:val="both"/>
              <w:rPr>
                <w:rFonts w:cstheme="minorHAnsi"/>
                <w:lang w:eastAsia="et-EE"/>
              </w:rPr>
            </w:pPr>
            <w:r w:rsidRPr="00DA45B4">
              <w:rPr>
                <w:rFonts w:cstheme="minorHAnsi"/>
              </w:rPr>
              <w:t>8415-38-001-0207</w:t>
            </w:r>
          </w:p>
        </w:tc>
        <w:tc>
          <w:tcPr>
            <w:tcW w:w="1920" w:type="dxa"/>
            <w:tcBorders>
              <w:top w:val="nil"/>
              <w:left w:val="nil"/>
              <w:bottom w:val="single" w:sz="4" w:space="0" w:color="auto"/>
              <w:right w:val="single" w:sz="4" w:space="0" w:color="auto"/>
            </w:tcBorders>
            <w:noWrap/>
            <w:vAlign w:val="center"/>
          </w:tcPr>
          <w:p w14:paraId="64A557E5" w14:textId="77777777" w:rsidR="005D1F19" w:rsidRPr="00DA45B4" w:rsidRDefault="005D1F19" w:rsidP="009C4828">
            <w:pPr>
              <w:spacing w:after="0" w:line="240" w:lineRule="auto"/>
              <w:jc w:val="both"/>
              <w:rPr>
                <w:rFonts w:cstheme="minorHAnsi"/>
                <w:lang w:eastAsia="et-EE"/>
              </w:rPr>
            </w:pPr>
            <w:r w:rsidRPr="00DA45B4">
              <w:rPr>
                <w:rFonts w:cstheme="minorHAnsi"/>
              </w:rPr>
              <w:t>10028635</w:t>
            </w:r>
          </w:p>
        </w:tc>
      </w:tr>
      <w:tr w:rsidR="005D1F19" w:rsidRPr="00DA45B4" w14:paraId="4C0B9175" w14:textId="77777777" w:rsidTr="009C4828">
        <w:trPr>
          <w:trHeight w:val="300"/>
        </w:trPr>
        <w:tc>
          <w:tcPr>
            <w:tcW w:w="2722" w:type="dxa"/>
            <w:tcBorders>
              <w:top w:val="nil"/>
              <w:left w:val="single" w:sz="4" w:space="0" w:color="auto"/>
              <w:bottom w:val="single" w:sz="4" w:space="0" w:color="auto"/>
              <w:right w:val="single" w:sz="4" w:space="0" w:color="auto"/>
            </w:tcBorders>
            <w:noWrap/>
            <w:vAlign w:val="center"/>
            <w:hideMark/>
          </w:tcPr>
          <w:p w14:paraId="7FDAA1D2"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välivormi müts M09</w:t>
            </w:r>
          </w:p>
        </w:tc>
        <w:tc>
          <w:tcPr>
            <w:tcW w:w="1307" w:type="dxa"/>
            <w:tcBorders>
              <w:top w:val="nil"/>
              <w:left w:val="nil"/>
              <w:bottom w:val="single" w:sz="4" w:space="0" w:color="auto"/>
              <w:right w:val="single" w:sz="4" w:space="0" w:color="auto"/>
            </w:tcBorders>
            <w:noWrap/>
            <w:vAlign w:val="center"/>
            <w:hideMark/>
          </w:tcPr>
          <w:p w14:paraId="017EE1F0" w14:textId="77777777" w:rsidR="005D1F19" w:rsidRPr="00DA45B4" w:rsidRDefault="005D1F19" w:rsidP="009C4828">
            <w:pPr>
              <w:spacing w:after="0" w:line="240" w:lineRule="auto"/>
              <w:jc w:val="both"/>
              <w:rPr>
                <w:rFonts w:cstheme="minorHAnsi"/>
                <w:lang w:eastAsia="et-EE"/>
              </w:rPr>
            </w:pPr>
            <w:r w:rsidRPr="00DA45B4">
              <w:rPr>
                <w:rFonts w:cstheme="minorHAnsi"/>
                <w:lang w:eastAsia="et-EE"/>
              </w:rPr>
              <w:t>63</w:t>
            </w:r>
          </w:p>
        </w:tc>
        <w:tc>
          <w:tcPr>
            <w:tcW w:w="2160" w:type="dxa"/>
            <w:tcBorders>
              <w:top w:val="nil"/>
              <w:left w:val="nil"/>
              <w:bottom w:val="single" w:sz="4" w:space="0" w:color="auto"/>
              <w:right w:val="single" w:sz="4" w:space="0" w:color="auto"/>
            </w:tcBorders>
            <w:noWrap/>
            <w:vAlign w:val="center"/>
          </w:tcPr>
          <w:p w14:paraId="7BAE7659" w14:textId="77777777" w:rsidR="005D1F19" w:rsidRPr="00DA45B4" w:rsidRDefault="005D1F19" w:rsidP="009C4828">
            <w:pPr>
              <w:spacing w:after="0" w:line="240" w:lineRule="auto"/>
              <w:jc w:val="both"/>
              <w:rPr>
                <w:rFonts w:cstheme="minorHAnsi"/>
                <w:lang w:eastAsia="et-EE"/>
              </w:rPr>
            </w:pPr>
            <w:r w:rsidRPr="00DA45B4">
              <w:rPr>
                <w:rFonts w:cstheme="minorHAnsi"/>
              </w:rPr>
              <w:t>8415-38-001-0208</w:t>
            </w:r>
          </w:p>
        </w:tc>
        <w:tc>
          <w:tcPr>
            <w:tcW w:w="1920" w:type="dxa"/>
            <w:tcBorders>
              <w:top w:val="nil"/>
              <w:left w:val="nil"/>
              <w:bottom w:val="single" w:sz="4" w:space="0" w:color="auto"/>
              <w:right w:val="single" w:sz="4" w:space="0" w:color="auto"/>
            </w:tcBorders>
            <w:noWrap/>
            <w:vAlign w:val="center"/>
          </w:tcPr>
          <w:p w14:paraId="6EFF1D15" w14:textId="77777777" w:rsidR="005D1F19" w:rsidRPr="00DA45B4" w:rsidRDefault="005D1F19" w:rsidP="009C4828">
            <w:pPr>
              <w:spacing w:after="0" w:line="240" w:lineRule="auto"/>
              <w:jc w:val="both"/>
              <w:rPr>
                <w:rFonts w:cstheme="minorHAnsi"/>
                <w:lang w:eastAsia="et-EE"/>
              </w:rPr>
            </w:pPr>
            <w:r w:rsidRPr="00DA45B4">
              <w:rPr>
                <w:rFonts w:cstheme="minorHAnsi"/>
              </w:rPr>
              <w:t>10028636</w:t>
            </w:r>
          </w:p>
        </w:tc>
      </w:tr>
    </w:tbl>
    <w:p w14:paraId="72D825D2" w14:textId="77777777" w:rsidR="005D1F19" w:rsidRDefault="005D1F19" w:rsidP="005D1F19">
      <w:pPr>
        <w:tabs>
          <w:tab w:val="left" w:pos="2268"/>
          <w:tab w:val="left" w:pos="2694"/>
          <w:tab w:val="left" w:pos="3686"/>
          <w:tab w:val="left" w:pos="3828"/>
          <w:tab w:val="left" w:pos="4820"/>
        </w:tabs>
        <w:ind w:firstLine="426"/>
      </w:pPr>
    </w:p>
    <w:p w14:paraId="692FCDD7" w14:textId="77777777" w:rsidR="005D1F19" w:rsidRDefault="005D1F19" w:rsidP="005D1F19">
      <w:pPr>
        <w:pStyle w:val="ListParagraph"/>
        <w:numPr>
          <w:ilvl w:val="1"/>
          <w:numId w:val="6"/>
        </w:numPr>
        <w:tabs>
          <w:tab w:val="left" w:pos="2268"/>
          <w:tab w:val="left" w:pos="2694"/>
          <w:tab w:val="left" w:pos="3686"/>
          <w:tab w:val="left" w:pos="3828"/>
          <w:tab w:val="left" w:pos="4820"/>
        </w:tabs>
      </w:pPr>
      <w:r>
        <w:t>Kokard</w:t>
      </w:r>
    </w:p>
    <w:p w14:paraId="69F8A850" w14:textId="77777777" w:rsidR="005D1F19" w:rsidRDefault="005D1F19" w:rsidP="005D1F19">
      <w:pPr>
        <w:tabs>
          <w:tab w:val="left" w:pos="2268"/>
          <w:tab w:val="left" w:pos="2694"/>
          <w:tab w:val="left" w:pos="3686"/>
          <w:tab w:val="left" w:pos="3828"/>
          <w:tab w:val="left" w:pos="4820"/>
        </w:tabs>
      </w:pPr>
      <w:r w:rsidRPr="00DA45B4">
        <w:rPr>
          <w:noProof/>
          <w:lang w:eastAsia="et-EE"/>
        </w:rPr>
        <w:lastRenderedPageBreak/>
        <w:drawing>
          <wp:inline distT="0" distB="0" distL="0" distR="0" wp14:anchorId="3F9E1AC8" wp14:editId="2F7633DD">
            <wp:extent cx="1104900" cy="1104900"/>
            <wp:effectExtent l="0" t="0" r="0" b="0"/>
            <wp:docPr id="17"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035E04E5" w14:textId="77777777" w:rsidR="005D1F19" w:rsidRDefault="005D1F19" w:rsidP="005D1F19">
      <w:pPr>
        <w:pStyle w:val="ListParagraph"/>
        <w:numPr>
          <w:ilvl w:val="1"/>
          <w:numId w:val="6"/>
        </w:numPr>
        <w:tabs>
          <w:tab w:val="left" w:pos="2268"/>
          <w:tab w:val="left" w:pos="2694"/>
          <w:tab w:val="left" w:pos="3686"/>
          <w:tab w:val="left" w:pos="3828"/>
          <w:tab w:val="left" w:pos="4820"/>
        </w:tabs>
      </w:pPr>
      <w:r w:rsidRPr="005D1F19">
        <w:t>Etiketi näidis</w:t>
      </w:r>
    </w:p>
    <w:p w14:paraId="48EE7405" w14:textId="77777777" w:rsidR="005D1F19" w:rsidRDefault="00AD6E12" w:rsidP="005D1F19">
      <w:pPr>
        <w:tabs>
          <w:tab w:val="left" w:pos="2268"/>
          <w:tab w:val="left" w:pos="2694"/>
          <w:tab w:val="left" w:pos="3686"/>
          <w:tab w:val="left" w:pos="3828"/>
          <w:tab w:val="left" w:pos="4820"/>
        </w:tabs>
      </w:pPr>
      <w:r w:rsidRPr="00AD6E12">
        <w:rPr>
          <w:noProof/>
          <w:lang w:eastAsia="et-EE"/>
        </w:rPr>
        <w:drawing>
          <wp:inline distT="0" distB="0" distL="0" distR="0" wp14:anchorId="64B06A84" wp14:editId="5EF343DC">
            <wp:extent cx="4124325" cy="2633961"/>
            <wp:effectExtent l="0" t="0" r="0" b="0"/>
            <wp:docPr id="4" name="Picture 4" descr="C:\Users\marika.muur\Desktop\Untitle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ika.muur\Desktop\Untitled 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0197" cy="2650484"/>
                    </a:xfrm>
                    <a:prstGeom prst="rect">
                      <a:avLst/>
                    </a:prstGeom>
                    <a:noFill/>
                    <a:ln>
                      <a:noFill/>
                    </a:ln>
                  </pic:spPr>
                </pic:pic>
              </a:graphicData>
            </a:graphic>
          </wp:inline>
        </w:drawing>
      </w:r>
    </w:p>
    <w:sectPr w:rsidR="005D1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F9E"/>
    <w:multiLevelType w:val="multilevel"/>
    <w:tmpl w:val="DB5CF128"/>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EB7D14"/>
    <w:multiLevelType w:val="multilevel"/>
    <w:tmpl w:val="3AA8B1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851F28"/>
    <w:multiLevelType w:val="multilevel"/>
    <w:tmpl w:val="3AA8B1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BD1F2E"/>
    <w:multiLevelType w:val="multilevel"/>
    <w:tmpl w:val="DB5CF128"/>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B17BF"/>
    <w:multiLevelType w:val="hybridMultilevel"/>
    <w:tmpl w:val="99B43380"/>
    <w:lvl w:ilvl="0" w:tplc="876E06F0">
      <w:start w:val="2"/>
      <w:numFmt w:val="bullet"/>
      <w:lvlText w:val="-"/>
      <w:lvlJc w:val="left"/>
      <w:pPr>
        <w:ind w:left="1132" w:hanging="360"/>
      </w:pPr>
      <w:rPr>
        <w:rFonts w:ascii="Arial" w:eastAsia="Times New Roman" w:hAnsi="Arial" w:hint="default"/>
      </w:rPr>
    </w:lvl>
    <w:lvl w:ilvl="1" w:tplc="04250003" w:tentative="1">
      <w:start w:val="1"/>
      <w:numFmt w:val="bullet"/>
      <w:lvlText w:val="o"/>
      <w:lvlJc w:val="left"/>
      <w:pPr>
        <w:ind w:left="1852" w:hanging="360"/>
      </w:pPr>
      <w:rPr>
        <w:rFonts w:ascii="Courier New" w:hAnsi="Courier New" w:hint="default"/>
      </w:rPr>
    </w:lvl>
    <w:lvl w:ilvl="2" w:tplc="04250005" w:tentative="1">
      <w:start w:val="1"/>
      <w:numFmt w:val="bullet"/>
      <w:lvlText w:val=""/>
      <w:lvlJc w:val="left"/>
      <w:pPr>
        <w:ind w:left="2572" w:hanging="360"/>
      </w:pPr>
      <w:rPr>
        <w:rFonts w:ascii="Wingdings" w:hAnsi="Wingdings" w:hint="default"/>
      </w:rPr>
    </w:lvl>
    <w:lvl w:ilvl="3" w:tplc="04250001" w:tentative="1">
      <w:start w:val="1"/>
      <w:numFmt w:val="bullet"/>
      <w:lvlText w:val=""/>
      <w:lvlJc w:val="left"/>
      <w:pPr>
        <w:ind w:left="3292" w:hanging="360"/>
      </w:pPr>
      <w:rPr>
        <w:rFonts w:ascii="Symbol" w:hAnsi="Symbol" w:hint="default"/>
      </w:rPr>
    </w:lvl>
    <w:lvl w:ilvl="4" w:tplc="04250003" w:tentative="1">
      <w:start w:val="1"/>
      <w:numFmt w:val="bullet"/>
      <w:lvlText w:val="o"/>
      <w:lvlJc w:val="left"/>
      <w:pPr>
        <w:ind w:left="4012" w:hanging="360"/>
      </w:pPr>
      <w:rPr>
        <w:rFonts w:ascii="Courier New" w:hAnsi="Courier New" w:hint="default"/>
      </w:rPr>
    </w:lvl>
    <w:lvl w:ilvl="5" w:tplc="04250005" w:tentative="1">
      <w:start w:val="1"/>
      <w:numFmt w:val="bullet"/>
      <w:lvlText w:val=""/>
      <w:lvlJc w:val="left"/>
      <w:pPr>
        <w:ind w:left="4732" w:hanging="360"/>
      </w:pPr>
      <w:rPr>
        <w:rFonts w:ascii="Wingdings" w:hAnsi="Wingdings" w:hint="default"/>
      </w:rPr>
    </w:lvl>
    <w:lvl w:ilvl="6" w:tplc="04250001" w:tentative="1">
      <w:start w:val="1"/>
      <w:numFmt w:val="bullet"/>
      <w:lvlText w:val=""/>
      <w:lvlJc w:val="left"/>
      <w:pPr>
        <w:ind w:left="5452" w:hanging="360"/>
      </w:pPr>
      <w:rPr>
        <w:rFonts w:ascii="Symbol" w:hAnsi="Symbol" w:hint="default"/>
      </w:rPr>
    </w:lvl>
    <w:lvl w:ilvl="7" w:tplc="04250003" w:tentative="1">
      <w:start w:val="1"/>
      <w:numFmt w:val="bullet"/>
      <w:lvlText w:val="o"/>
      <w:lvlJc w:val="left"/>
      <w:pPr>
        <w:ind w:left="6172" w:hanging="360"/>
      </w:pPr>
      <w:rPr>
        <w:rFonts w:ascii="Courier New" w:hAnsi="Courier New" w:hint="default"/>
      </w:rPr>
    </w:lvl>
    <w:lvl w:ilvl="8" w:tplc="04250005" w:tentative="1">
      <w:start w:val="1"/>
      <w:numFmt w:val="bullet"/>
      <w:lvlText w:val=""/>
      <w:lvlJc w:val="left"/>
      <w:pPr>
        <w:ind w:left="6892" w:hanging="360"/>
      </w:pPr>
      <w:rPr>
        <w:rFonts w:ascii="Wingdings" w:hAnsi="Wingdings" w:hint="default"/>
      </w:rPr>
    </w:lvl>
  </w:abstractNum>
  <w:abstractNum w:abstractNumId="5" w15:restartNumberingAfterBreak="0">
    <w:nsid w:val="5DAB2EB8"/>
    <w:multiLevelType w:val="multilevel"/>
    <w:tmpl w:val="3AA8B1A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AB07F8"/>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6D854D23"/>
    <w:multiLevelType w:val="hybridMultilevel"/>
    <w:tmpl w:val="28F6B5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BF5327C"/>
    <w:multiLevelType w:val="multilevel"/>
    <w:tmpl w:val="3AA8B1A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DA1022"/>
    <w:multiLevelType w:val="multilevel"/>
    <w:tmpl w:val="3AA8B1A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4"/>
  </w:num>
  <w:num w:numId="4">
    <w:abstractNumId w:val="3"/>
  </w:num>
  <w:num w:numId="5">
    <w:abstractNumId w:val="0"/>
  </w:num>
  <w:num w:numId="6">
    <w:abstractNumId w:val="9"/>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E4"/>
    <w:rsid w:val="00061B17"/>
    <w:rsid w:val="0019179F"/>
    <w:rsid w:val="001D3918"/>
    <w:rsid w:val="00294E48"/>
    <w:rsid w:val="003046F5"/>
    <w:rsid w:val="00352BF3"/>
    <w:rsid w:val="00356A7C"/>
    <w:rsid w:val="003E1C3B"/>
    <w:rsid w:val="00547EF4"/>
    <w:rsid w:val="005D1F19"/>
    <w:rsid w:val="00654B32"/>
    <w:rsid w:val="0077546D"/>
    <w:rsid w:val="00785FF7"/>
    <w:rsid w:val="007A665D"/>
    <w:rsid w:val="00801F8D"/>
    <w:rsid w:val="008A6B8D"/>
    <w:rsid w:val="00A52163"/>
    <w:rsid w:val="00AD6E12"/>
    <w:rsid w:val="00C032E4"/>
    <w:rsid w:val="00C84B5C"/>
    <w:rsid w:val="00C94C40"/>
    <w:rsid w:val="00DD153F"/>
    <w:rsid w:val="00E422B0"/>
    <w:rsid w:val="00E80745"/>
    <w:rsid w:val="00F905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976E"/>
  <w15:chartTrackingRefBased/>
  <w15:docId w15:val="{7896B6A9-4571-4FE7-A890-655F4B67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E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2E4"/>
    <w:pPr>
      <w:ind w:left="720"/>
      <w:contextualSpacing/>
    </w:pPr>
  </w:style>
  <w:style w:type="paragraph" w:styleId="BodyTextIndent">
    <w:name w:val="Body Text Indent"/>
    <w:basedOn w:val="Normal"/>
    <w:link w:val="BodyTextIndentChar"/>
    <w:uiPriority w:val="99"/>
    <w:rsid w:val="005D1F19"/>
    <w:pPr>
      <w:tabs>
        <w:tab w:val="left" w:pos="540"/>
      </w:tabs>
      <w:spacing w:after="0" w:line="240" w:lineRule="auto"/>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5D1F1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1F8D"/>
    <w:rPr>
      <w:sz w:val="16"/>
      <w:szCs w:val="16"/>
    </w:rPr>
  </w:style>
  <w:style w:type="paragraph" w:styleId="CommentText">
    <w:name w:val="annotation text"/>
    <w:basedOn w:val="Normal"/>
    <w:link w:val="CommentTextChar"/>
    <w:uiPriority w:val="99"/>
    <w:semiHidden/>
    <w:unhideWhenUsed/>
    <w:rsid w:val="00801F8D"/>
    <w:pPr>
      <w:spacing w:line="240" w:lineRule="auto"/>
    </w:pPr>
    <w:rPr>
      <w:sz w:val="20"/>
      <w:szCs w:val="20"/>
    </w:rPr>
  </w:style>
  <w:style w:type="character" w:customStyle="1" w:styleId="CommentTextChar">
    <w:name w:val="Comment Text Char"/>
    <w:basedOn w:val="DefaultParagraphFont"/>
    <w:link w:val="CommentText"/>
    <w:uiPriority w:val="99"/>
    <w:semiHidden/>
    <w:rsid w:val="00801F8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F8D"/>
    <w:rPr>
      <w:b/>
      <w:bCs/>
    </w:rPr>
  </w:style>
  <w:style w:type="character" w:customStyle="1" w:styleId="CommentSubjectChar">
    <w:name w:val="Comment Subject Char"/>
    <w:basedOn w:val="CommentTextChar"/>
    <w:link w:val="CommentSubject"/>
    <w:uiPriority w:val="99"/>
    <w:semiHidden/>
    <w:rsid w:val="00801F8D"/>
    <w:rPr>
      <w:rFonts w:eastAsia="Times New Roman" w:cs="Times New Roman"/>
      <w:b/>
      <w:bCs/>
      <w:sz w:val="20"/>
      <w:szCs w:val="20"/>
    </w:rPr>
  </w:style>
  <w:style w:type="paragraph" w:styleId="BalloonText">
    <w:name w:val="Balloon Text"/>
    <w:basedOn w:val="Normal"/>
    <w:link w:val="BalloonTextChar"/>
    <w:uiPriority w:val="99"/>
    <w:semiHidden/>
    <w:unhideWhenUsed/>
    <w:rsid w:val="00801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8D"/>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801F8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1920</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Müür</dc:creator>
  <cp:keywords/>
  <dc:description/>
  <cp:lastModifiedBy>Maarja Mändmaa</cp:lastModifiedBy>
  <cp:revision>16</cp:revision>
  <dcterms:created xsi:type="dcterms:W3CDTF">2022-02-01T07:48:00Z</dcterms:created>
  <dcterms:modified xsi:type="dcterms:W3CDTF">2022-04-29T08:58:00Z</dcterms:modified>
</cp:coreProperties>
</file>